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141"/>
        <w:gridCol w:w="3919"/>
      </w:tblGrid>
      <w:tr w:rsidR="00ED6A68" w:rsidRPr="00306F9C" w:rsidTr="0065380E">
        <w:trPr>
          <w:trHeight w:val="557"/>
        </w:trPr>
        <w:tc>
          <w:tcPr>
            <w:tcW w:w="5000" w:type="pct"/>
            <w:gridSpan w:val="2"/>
            <w:vAlign w:val="center"/>
          </w:tcPr>
          <w:p w:rsidR="00ED6A68" w:rsidRPr="00306F9C" w:rsidRDefault="0065380E" w:rsidP="00123DE3">
            <w:pPr>
              <w:rPr>
                <w:b/>
              </w:rPr>
            </w:pPr>
            <w:r w:rsidRPr="00306F9C">
              <w:rPr>
                <w:b/>
                <w:lang w:eastAsia="fr-FR"/>
              </w:rPr>
              <w:t>European Semester 2015/2016 country fiche on disability</w:t>
            </w:r>
          </w:p>
        </w:tc>
      </w:tr>
      <w:tr w:rsidR="00ED6A68" w:rsidRPr="00306F9C" w:rsidTr="00ED6A68">
        <w:trPr>
          <w:trHeight w:val="557"/>
        </w:trPr>
        <w:tc>
          <w:tcPr>
            <w:tcW w:w="3341" w:type="pct"/>
          </w:tcPr>
          <w:p w:rsidR="00ED6A68" w:rsidRPr="00306F9C" w:rsidRDefault="00AD4297" w:rsidP="00123DE3">
            <w:pPr>
              <w:rPr>
                <w:b/>
              </w:rPr>
            </w:pPr>
            <w:r w:rsidRPr="00306F9C">
              <w:rPr>
                <w:b/>
              </w:rPr>
              <w:t>Greece</w:t>
            </w:r>
          </w:p>
        </w:tc>
        <w:tc>
          <w:tcPr>
            <w:tcW w:w="1659" w:type="pct"/>
            <w:vMerge w:val="restart"/>
            <w:vAlign w:val="center"/>
          </w:tcPr>
          <w:p w:rsidR="00ED6A68" w:rsidRPr="00306F9C" w:rsidRDefault="00AD4297" w:rsidP="00123DE3">
            <w:r w:rsidRPr="00306F9C">
              <w:rPr>
                <w:noProof/>
                <w:lang w:eastAsia="en-GB"/>
              </w:rPr>
              <w:drawing>
                <wp:inline distT="0" distB="0" distL="0" distR="0">
                  <wp:extent cx="2351405" cy="2286000"/>
                  <wp:effectExtent l="0" t="0" r="0" b="0"/>
                  <wp:docPr id="4" name="Picture 4" descr="N:\Education&amp;Social-Sciences&amp;Law\Projects\Research_Data\0488_9406993_Mark-Priestley_ANED\ANED\2015\EU2020\2015 templates to complete\country_symbols_imag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amp;Social-Sciences&amp;Law\Projects\Research_Data\0488_9406993_Mark-Priestley_ANED\ANED\2015\EU2020\2015 templates to complete\country_symbols_images\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2286000"/>
                          </a:xfrm>
                          <a:prstGeom prst="rect">
                            <a:avLst/>
                          </a:prstGeom>
                          <a:noFill/>
                          <a:ln>
                            <a:noFill/>
                          </a:ln>
                        </pic:spPr>
                      </pic:pic>
                    </a:graphicData>
                  </a:graphic>
                </wp:inline>
              </w:drawing>
            </w:r>
          </w:p>
        </w:tc>
      </w:tr>
      <w:tr w:rsidR="00ED6A68" w:rsidRPr="00306F9C" w:rsidTr="00ED6A68">
        <w:trPr>
          <w:trHeight w:val="1274"/>
        </w:trPr>
        <w:tc>
          <w:tcPr>
            <w:tcW w:w="3341" w:type="pct"/>
          </w:tcPr>
          <w:p w:rsidR="00ED6A68" w:rsidRPr="00306F9C" w:rsidRDefault="00ED6A68" w:rsidP="00123DE3">
            <w:r w:rsidRPr="00306F9C">
              <w:t xml:space="preserve">Report prepared by: </w:t>
            </w:r>
            <w:proofErr w:type="spellStart"/>
            <w:r w:rsidR="00E515E3" w:rsidRPr="00306F9C">
              <w:t>Eleni</w:t>
            </w:r>
            <w:proofErr w:type="spellEnd"/>
            <w:r w:rsidR="00E515E3" w:rsidRPr="00306F9C">
              <w:t xml:space="preserve"> Strati, </w:t>
            </w:r>
            <w:hyperlink r:id="rId9" w:history="1">
              <w:r w:rsidR="00123DE3" w:rsidRPr="00306F9C">
                <w:rPr>
                  <w:rStyle w:val="Hyperlink"/>
                </w:rPr>
                <w:t>elenistrati@gmail.com</w:t>
              </w:r>
            </w:hyperlink>
            <w:r w:rsidR="00123DE3" w:rsidRPr="00306F9C">
              <w:t xml:space="preserve"> </w:t>
            </w:r>
          </w:p>
        </w:tc>
        <w:tc>
          <w:tcPr>
            <w:tcW w:w="1659" w:type="pct"/>
            <w:vMerge/>
          </w:tcPr>
          <w:p w:rsidR="00ED6A68" w:rsidRPr="00306F9C" w:rsidRDefault="00ED6A68" w:rsidP="00123DE3">
            <w:pPr>
              <w:rPr>
                <w:noProof/>
                <w:color w:val="000000"/>
                <w:lang w:eastAsia="en-GB"/>
              </w:rPr>
            </w:pPr>
          </w:p>
        </w:tc>
      </w:tr>
      <w:tr w:rsidR="00ED6A68" w:rsidRPr="00306F9C" w:rsidTr="00ED6A68">
        <w:trPr>
          <w:trHeight w:val="940"/>
        </w:trPr>
        <w:tc>
          <w:tcPr>
            <w:tcW w:w="3341" w:type="pct"/>
          </w:tcPr>
          <w:p w:rsidR="00ED6A68" w:rsidRPr="00306F9C" w:rsidRDefault="00ED6A68" w:rsidP="00123DE3">
            <w:r w:rsidRPr="00306F9C">
              <w:t>With comparative data provided by the ANED core team</w:t>
            </w:r>
          </w:p>
        </w:tc>
        <w:tc>
          <w:tcPr>
            <w:tcW w:w="1659" w:type="pct"/>
            <w:vMerge/>
          </w:tcPr>
          <w:p w:rsidR="00ED6A68" w:rsidRPr="00306F9C" w:rsidRDefault="00ED6A68" w:rsidP="00123DE3">
            <w:pPr>
              <w:rPr>
                <w:noProof/>
                <w:color w:val="000000"/>
                <w:lang w:eastAsia="en-GB"/>
              </w:rPr>
            </w:pPr>
          </w:p>
        </w:tc>
      </w:tr>
    </w:tbl>
    <w:p w:rsidR="00ED6A68" w:rsidRPr="00306F9C" w:rsidRDefault="00ED6A68" w:rsidP="00123DE3"/>
    <w:p w:rsidR="00AF323E" w:rsidRPr="00306F9C" w:rsidRDefault="00AF323E" w:rsidP="00123DE3">
      <w:pPr>
        <w:pStyle w:val="BodyText"/>
        <w:spacing w:after="0"/>
      </w:pPr>
      <w:r w:rsidRPr="00306F9C">
        <w:t xml:space="preserve">The </w:t>
      </w:r>
      <w:hyperlink r:id="rId10" w:history="1">
        <w:r w:rsidRPr="00306F9C">
          <w:rPr>
            <w:rStyle w:val="Hyperlink"/>
          </w:rPr>
          <w:t>Academic Network of European Disability experts</w:t>
        </w:r>
      </w:hyperlink>
      <w:r w:rsidRPr="00306F9C">
        <w:t xml:space="preserve"> (ANED) was established by the European Commission in 2008 to provide scientific support and advice for its disability policy Unit. In particular, the activities of the Network support the development of the </w:t>
      </w:r>
      <w:r w:rsidR="00534975" w:rsidRPr="00306F9C">
        <w:t>European Disability Strategy</w:t>
      </w:r>
      <w:r w:rsidRPr="00306F9C">
        <w:t xml:space="preserve"> </w:t>
      </w:r>
      <w:r w:rsidR="00534975" w:rsidRPr="00306F9C">
        <w:t xml:space="preserve">2010-2020 </w:t>
      </w:r>
      <w:r w:rsidRPr="00306F9C">
        <w:t>and practical implementation of the United Nations Convention on the Rights of Disabled People</w:t>
      </w:r>
      <w:r w:rsidR="00534975" w:rsidRPr="00306F9C">
        <w:t xml:space="preserve"> in the EU</w:t>
      </w:r>
      <w:r w:rsidRPr="00306F9C">
        <w:t>.</w:t>
      </w:r>
    </w:p>
    <w:p w:rsidR="00123DE3" w:rsidRPr="00306F9C" w:rsidRDefault="00123DE3" w:rsidP="00123DE3">
      <w:pPr>
        <w:pStyle w:val="BodyText"/>
        <w:spacing w:after="0"/>
        <w:rPr>
          <w:lang w:eastAsia="en-GB"/>
        </w:rPr>
      </w:pPr>
    </w:p>
    <w:p w:rsidR="00AF323E" w:rsidRPr="00306F9C" w:rsidRDefault="00AF323E" w:rsidP="00123DE3">
      <w:pPr>
        <w:pStyle w:val="BodyText"/>
        <w:spacing w:after="0"/>
      </w:pPr>
      <w:r w:rsidRPr="00306F9C">
        <w:t xml:space="preserve">This country report has been prepared as input for the </w:t>
      </w:r>
      <w:r w:rsidR="00534975" w:rsidRPr="00306F9C">
        <w:t>E</w:t>
      </w:r>
      <w:r w:rsidR="00526839" w:rsidRPr="00306F9C">
        <w:t>uropean Semester</w:t>
      </w:r>
      <w:r w:rsidR="00C75AFD" w:rsidRPr="00306F9C">
        <w:t xml:space="preserve"> from a disability perspective</w:t>
      </w:r>
      <w:r w:rsidRPr="00306F9C">
        <w:t xml:space="preserve">. </w:t>
      </w:r>
    </w:p>
    <w:p w:rsidR="00123DE3" w:rsidRPr="00306F9C" w:rsidRDefault="00123DE3" w:rsidP="00123DE3">
      <w:pPr>
        <w:pStyle w:val="BodyText"/>
        <w:spacing w:after="0"/>
      </w:pPr>
    </w:p>
    <w:p w:rsidR="0065380E" w:rsidRPr="00306F9C" w:rsidRDefault="00480DCE" w:rsidP="00123DE3">
      <w:pPr>
        <w:pStyle w:val="BodyText"/>
        <w:spacing w:after="0"/>
        <w:rPr>
          <w:i/>
        </w:rPr>
      </w:pPr>
      <w:r w:rsidRPr="00306F9C">
        <w:rPr>
          <w:i/>
        </w:rPr>
        <w:t>Note</w:t>
      </w:r>
      <w:r w:rsidR="00F46384" w:rsidRPr="00306F9C">
        <w:rPr>
          <w:i/>
        </w:rPr>
        <w:t>:</w:t>
      </w:r>
    </w:p>
    <w:p w:rsidR="00AA6745" w:rsidRPr="00306F9C" w:rsidRDefault="00AA6745" w:rsidP="00123DE3">
      <w:pPr>
        <w:pStyle w:val="BodyText"/>
        <w:spacing w:after="0"/>
        <w:rPr>
          <w:i/>
        </w:rPr>
      </w:pPr>
      <w:r w:rsidRPr="00306F9C">
        <w:rPr>
          <w:i/>
        </w:rPr>
        <w:t xml:space="preserve">The </w:t>
      </w:r>
      <w:r w:rsidR="00141174" w:rsidRPr="00306F9C">
        <w:rPr>
          <w:i/>
        </w:rPr>
        <w:t>statistics</w:t>
      </w:r>
      <w:r w:rsidRPr="00306F9C">
        <w:rPr>
          <w:i/>
        </w:rPr>
        <w:t xml:space="preserve"> provided </w:t>
      </w:r>
      <w:r w:rsidR="00D70FF0" w:rsidRPr="00306F9C">
        <w:rPr>
          <w:i/>
        </w:rPr>
        <w:t>in October 2015</w:t>
      </w:r>
      <w:r w:rsidRPr="00306F9C">
        <w:rPr>
          <w:i/>
        </w:rPr>
        <w:t xml:space="preserve"> </w:t>
      </w:r>
      <w:r w:rsidR="00141174" w:rsidRPr="00306F9C">
        <w:rPr>
          <w:i/>
        </w:rPr>
        <w:t>are</w:t>
      </w:r>
      <w:r w:rsidRPr="00306F9C">
        <w:rPr>
          <w:i/>
        </w:rPr>
        <w:t xml:space="preserve"> </w:t>
      </w:r>
      <w:r w:rsidR="00141174" w:rsidRPr="00306F9C">
        <w:rPr>
          <w:i/>
        </w:rPr>
        <w:t>based on</w:t>
      </w:r>
      <w:r w:rsidRPr="00306F9C">
        <w:rPr>
          <w:i/>
        </w:rPr>
        <w:t xml:space="preserve"> the EU-SILC 2013. </w:t>
      </w:r>
      <w:r w:rsidR="00C83D53" w:rsidRPr="00306F9C">
        <w:rPr>
          <w:i/>
        </w:rPr>
        <w:t xml:space="preserve">This </w:t>
      </w:r>
      <w:r w:rsidR="00421E28" w:rsidRPr="00306F9C">
        <w:rPr>
          <w:i/>
        </w:rPr>
        <w:t>is</w:t>
      </w:r>
      <w:r w:rsidR="00C83D53" w:rsidRPr="00306F9C">
        <w:rPr>
          <w:i/>
        </w:rPr>
        <w:t xml:space="preserve"> the most recent </w:t>
      </w:r>
      <w:proofErr w:type="spellStart"/>
      <w:r w:rsidR="00141174" w:rsidRPr="00306F9C">
        <w:rPr>
          <w:i/>
        </w:rPr>
        <w:t>micro</w:t>
      </w:r>
      <w:r w:rsidR="00C83D53" w:rsidRPr="00306F9C">
        <w:rPr>
          <w:i/>
        </w:rPr>
        <w:t>data</w:t>
      </w:r>
      <w:proofErr w:type="spellEnd"/>
      <w:r w:rsidR="00C83D53" w:rsidRPr="00306F9C">
        <w:rPr>
          <w:i/>
        </w:rPr>
        <w:t xml:space="preserve"> available </w:t>
      </w:r>
      <w:r w:rsidR="00141174" w:rsidRPr="00306F9C">
        <w:rPr>
          <w:i/>
        </w:rPr>
        <w:t xml:space="preserve">to researchers </w:t>
      </w:r>
      <w:r w:rsidR="00C83D53" w:rsidRPr="00306F9C">
        <w:rPr>
          <w:i/>
        </w:rPr>
        <w:t>for analysis</w:t>
      </w:r>
      <w:r w:rsidR="00421E28" w:rsidRPr="00306F9C">
        <w:rPr>
          <w:i/>
        </w:rPr>
        <w:t xml:space="preserve"> from Eurostat</w:t>
      </w:r>
      <w:r w:rsidR="00C83D53" w:rsidRPr="00306F9C">
        <w:rPr>
          <w:i/>
        </w:rPr>
        <w:t xml:space="preserve">. </w:t>
      </w:r>
      <w:r w:rsidR="00C7318C" w:rsidRPr="00306F9C">
        <w:rPr>
          <w:i/>
        </w:rPr>
        <w:t xml:space="preserve">This report may be updated </w:t>
      </w:r>
      <w:r w:rsidR="00995463" w:rsidRPr="00306F9C">
        <w:rPr>
          <w:i/>
        </w:rPr>
        <w:t>as</w:t>
      </w:r>
      <w:r w:rsidR="00C7318C" w:rsidRPr="00306F9C">
        <w:rPr>
          <w:i/>
        </w:rPr>
        <w:t xml:space="preserve"> </w:t>
      </w:r>
      <w:r w:rsidR="00D70FF0" w:rsidRPr="00306F9C">
        <w:rPr>
          <w:i/>
        </w:rPr>
        <w:t xml:space="preserve">new data </w:t>
      </w:r>
      <w:r w:rsidRPr="00306F9C">
        <w:rPr>
          <w:i/>
        </w:rPr>
        <w:t>become</w:t>
      </w:r>
      <w:r w:rsidR="00C7318C" w:rsidRPr="00306F9C">
        <w:rPr>
          <w:i/>
        </w:rPr>
        <w:t>s</w:t>
      </w:r>
      <w:r w:rsidRPr="00306F9C">
        <w:rPr>
          <w:i/>
        </w:rPr>
        <w:t xml:space="preserve"> available.</w:t>
      </w:r>
    </w:p>
    <w:p w:rsidR="0065380E" w:rsidRPr="00306F9C" w:rsidRDefault="0065380E" w:rsidP="00123DE3"/>
    <w:p w:rsidR="0065380E" w:rsidRPr="00306F9C" w:rsidRDefault="0065380E" w:rsidP="00123DE3"/>
    <w:p w:rsidR="0065380E" w:rsidRPr="00306F9C" w:rsidRDefault="0065380E" w:rsidP="00123DE3"/>
    <w:p w:rsidR="003E7EC1" w:rsidRPr="00306F9C" w:rsidRDefault="0065380E" w:rsidP="00123DE3">
      <w:pPr>
        <w:ind w:firstLine="720"/>
      </w:pPr>
      <w:r w:rsidRPr="00306F9C">
        <w:rPr>
          <w:noProof/>
          <w:lang w:eastAsia="en-GB"/>
        </w:rPr>
        <w:drawing>
          <wp:inline distT="0" distB="0" distL="0" distR="0">
            <wp:extent cx="828000" cy="51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C voor Wo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514800"/>
                    </a:xfrm>
                    <a:prstGeom prst="rect">
                      <a:avLst/>
                    </a:prstGeom>
                  </pic:spPr>
                </pic:pic>
              </a:graphicData>
            </a:graphic>
          </wp:inline>
        </w:drawing>
      </w:r>
      <w:r w:rsidRPr="00306F9C">
        <w:t xml:space="preserve"> </w:t>
      </w:r>
      <w:r w:rsidRPr="00306F9C">
        <w:tab/>
      </w:r>
      <w:r w:rsidRPr="00306F9C">
        <w:tab/>
      </w:r>
      <w:r w:rsidRPr="00306F9C">
        <w:tab/>
      </w:r>
      <w:r w:rsidRPr="00306F9C">
        <w:tab/>
      </w:r>
      <w:r w:rsidRPr="00306F9C">
        <w:tab/>
      </w:r>
      <w:r w:rsidRPr="00306F9C">
        <w:tab/>
      </w:r>
      <w:r w:rsidRPr="00306F9C">
        <w:tab/>
        <w:t xml:space="preserve"> </w:t>
      </w:r>
      <w:r w:rsidRPr="00306F9C">
        <w:rPr>
          <w:noProof/>
          <w:lang w:eastAsia="en-GB"/>
        </w:rPr>
        <w:drawing>
          <wp:inline distT="0" distB="0" distL="0" distR="0">
            <wp:extent cx="1429200" cy="6012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0" cy="601200"/>
                    </a:xfrm>
                    <a:prstGeom prst="rect">
                      <a:avLst/>
                    </a:prstGeom>
                  </pic:spPr>
                </pic:pic>
              </a:graphicData>
            </a:graphic>
          </wp:inline>
        </w:drawing>
      </w:r>
    </w:p>
    <w:p w:rsidR="003E7EC1" w:rsidRPr="00306F9C" w:rsidRDefault="003E7EC1" w:rsidP="00123DE3">
      <w:r w:rsidRPr="00306F9C">
        <w:br w:type="page"/>
      </w:r>
    </w:p>
    <w:p w:rsidR="00A14F67" w:rsidRPr="00306F9C" w:rsidRDefault="00123DE3" w:rsidP="00123DE3">
      <w:pPr>
        <w:rPr>
          <w:b/>
        </w:rPr>
      </w:pPr>
      <w:r w:rsidRPr="00306F9C">
        <w:rPr>
          <w:b/>
        </w:rPr>
        <w:lastRenderedPageBreak/>
        <w:t>Table of contents</w:t>
      </w:r>
    </w:p>
    <w:p w:rsidR="00123DE3" w:rsidRPr="00306F9C" w:rsidRDefault="00123DE3" w:rsidP="00123DE3"/>
    <w:p w:rsidR="00123DE3" w:rsidRPr="00306F9C" w:rsidRDefault="00123DE3">
      <w:pPr>
        <w:pStyle w:val="TOC1"/>
        <w:tabs>
          <w:tab w:val="right" w:leader="dot" w:pos="9060"/>
        </w:tabs>
        <w:rPr>
          <w:rFonts w:eastAsiaTheme="minorEastAsia"/>
          <w:noProof/>
          <w:lang w:eastAsia="en-GB"/>
        </w:rPr>
      </w:pPr>
      <w:r w:rsidRPr="00306F9C">
        <w:fldChar w:fldCharType="begin"/>
      </w:r>
      <w:r w:rsidRPr="00306F9C">
        <w:instrText xml:space="preserve"> TOC \o "1-3" \h \z \u </w:instrText>
      </w:r>
      <w:r w:rsidRPr="00306F9C">
        <w:fldChar w:fldCharType="separate"/>
      </w:r>
      <w:hyperlink w:anchor="_Toc453842107" w:history="1">
        <w:r w:rsidRPr="00306F9C">
          <w:rPr>
            <w:rStyle w:val="Hyperlink"/>
            <w:noProof/>
          </w:rPr>
          <w:t>1</w:t>
        </w:r>
        <w:r w:rsidRPr="00306F9C">
          <w:rPr>
            <w:rFonts w:eastAsiaTheme="minorEastAsia"/>
            <w:noProof/>
            <w:lang w:eastAsia="en-GB"/>
          </w:rPr>
          <w:tab/>
        </w:r>
        <w:r w:rsidRPr="00306F9C">
          <w:rPr>
            <w:rStyle w:val="Hyperlink"/>
            <w:noProof/>
          </w:rPr>
          <w:t>Summary of the overall situation and challenges</w:t>
        </w:r>
        <w:r w:rsidRPr="00306F9C">
          <w:rPr>
            <w:noProof/>
            <w:webHidden/>
          </w:rPr>
          <w:tab/>
        </w:r>
        <w:r w:rsidRPr="00306F9C">
          <w:rPr>
            <w:noProof/>
            <w:webHidden/>
          </w:rPr>
          <w:fldChar w:fldCharType="begin"/>
        </w:r>
        <w:r w:rsidRPr="00306F9C">
          <w:rPr>
            <w:noProof/>
            <w:webHidden/>
          </w:rPr>
          <w:instrText xml:space="preserve"> PAGEREF _Toc453842107 \h </w:instrText>
        </w:r>
        <w:r w:rsidRPr="00306F9C">
          <w:rPr>
            <w:noProof/>
            <w:webHidden/>
          </w:rPr>
        </w:r>
        <w:r w:rsidRPr="00306F9C">
          <w:rPr>
            <w:noProof/>
            <w:webHidden/>
          </w:rPr>
          <w:fldChar w:fldCharType="separate"/>
        </w:r>
        <w:r w:rsidR="00AE358C">
          <w:rPr>
            <w:noProof/>
            <w:webHidden/>
          </w:rPr>
          <w:t>2</w:t>
        </w:r>
        <w:r w:rsidRPr="00306F9C">
          <w:rPr>
            <w:noProof/>
            <w:webHidden/>
          </w:rPr>
          <w:fldChar w:fldCharType="end"/>
        </w:r>
      </w:hyperlink>
    </w:p>
    <w:p w:rsidR="00123DE3" w:rsidRPr="00306F9C" w:rsidRDefault="00AE358C">
      <w:pPr>
        <w:pStyle w:val="TOC1"/>
        <w:tabs>
          <w:tab w:val="right" w:leader="dot" w:pos="9060"/>
        </w:tabs>
        <w:rPr>
          <w:rFonts w:eastAsiaTheme="minorEastAsia"/>
          <w:noProof/>
          <w:lang w:eastAsia="en-GB"/>
        </w:rPr>
      </w:pPr>
      <w:hyperlink w:anchor="_Toc453842108" w:history="1">
        <w:r w:rsidR="00123DE3" w:rsidRPr="00306F9C">
          <w:rPr>
            <w:rStyle w:val="Hyperlink"/>
            <w:noProof/>
          </w:rPr>
          <w:t>2</w:t>
        </w:r>
        <w:r w:rsidR="00123DE3" w:rsidRPr="00306F9C">
          <w:rPr>
            <w:rFonts w:eastAsiaTheme="minorEastAsia"/>
            <w:noProof/>
            <w:lang w:eastAsia="en-GB"/>
          </w:rPr>
          <w:tab/>
        </w:r>
        <w:r w:rsidR="00123DE3" w:rsidRPr="00306F9C">
          <w:rPr>
            <w:rStyle w:val="Hyperlink"/>
            <w:noProof/>
          </w:rPr>
          <w:t>Assessment of the situation of disabled people with respect to the Europe 2020 headline targets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_Toc453842108 \h </w:instrText>
        </w:r>
        <w:r w:rsidR="00123DE3" w:rsidRPr="00306F9C">
          <w:rPr>
            <w:noProof/>
            <w:webHidden/>
          </w:rPr>
        </w:r>
        <w:r w:rsidR="00123DE3" w:rsidRPr="00306F9C">
          <w:rPr>
            <w:noProof/>
            <w:webHidden/>
          </w:rPr>
          <w:fldChar w:fldCharType="separate"/>
        </w:r>
        <w:r>
          <w:rPr>
            <w:noProof/>
            <w:webHidden/>
          </w:rPr>
          <w:t>4</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09" w:history="1">
        <w:r w:rsidR="00123DE3" w:rsidRPr="00306F9C">
          <w:rPr>
            <w:rStyle w:val="Hyperlink"/>
            <w:noProof/>
          </w:rPr>
          <w:t>2.1</w:t>
        </w:r>
        <w:r w:rsidR="00123DE3" w:rsidRPr="00306F9C">
          <w:rPr>
            <w:rFonts w:eastAsiaTheme="minorEastAsia"/>
            <w:noProof/>
            <w:lang w:eastAsia="en-GB"/>
          </w:rPr>
          <w:tab/>
        </w:r>
        <w:r w:rsidR="00123DE3" w:rsidRPr="00306F9C">
          <w:rPr>
            <w:rStyle w:val="Hyperlink"/>
            <w:noProof/>
          </w:rPr>
          <w:t>Strategic targets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_Toc453842109 \h </w:instrText>
        </w:r>
        <w:r w:rsidR="00123DE3" w:rsidRPr="00306F9C">
          <w:rPr>
            <w:noProof/>
            <w:webHidden/>
          </w:rPr>
        </w:r>
        <w:r w:rsidR="00123DE3" w:rsidRPr="00306F9C">
          <w:rPr>
            <w:noProof/>
            <w:webHidden/>
          </w:rPr>
          <w:fldChar w:fldCharType="separate"/>
        </w:r>
        <w:r>
          <w:rPr>
            <w:noProof/>
            <w:webHidden/>
          </w:rPr>
          <w:t>4</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10" w:history="1">
        <w:r w:rsidR="00123DE3" w:rsidRPr="00306F9C">
          <w:rPr>
            <w:rStyle w:val="Hyperlink"/>
            <w:noProof/>
          </w:rPr>
          <w:t>2.2</w:t>
        </w:r>
        <w:r w:rsidR="00123DE3" w:rsidRPr="00306F9C">
          <w:rPr>
            <w:rFonts w:eastAsiaTheme="minorEastAsia"/>
            <w:noProof/>
            <w:lang w:eastAsia="en-GB"/>
          </w:rPr>
          <w:tab/>
        </w:r>
        <w:r w:rsidR="00123DE3" w:rsidRPr="00306F9C">
          <w:rPr>
            <w:rStyle w:val="Hyperlink"/>
            <w:noProof/>
          </w:rPr>
          <w:t>Employment data</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_Toc453842110 \h </w:instrText>
        </w:r>
        <w:r w:rsidR="00123DE3" w:rsidRPr="00306F9C">
          <w:rPr>
            <w:noProof/>
            <w:webHidden/>
          </w:rPr>
        </w:r>
        <w:r w:rsidR="00123DE3" w:rsidRPr="00306F9C">
          <w:rPr>
            <w:noProof/>
            <w:webHidden/>
          </w:rPr>
          <w:fldChar w:fldCharType="separate"/>
        </w:r>
        <w:r>
          <w:rPr>
            <w:noProof/>
            <w:webHidden/>
          </w:rPr>
          <w:t>6</w:t>
        </w:r>
        <w:r w:rsidR="00123DE3" w:rsidRPr="00306F9C">
          <w:rPr>
            <w:noProof/>
            <w:webHidden/>
          </w:rPr>
          <w:fldChar w:fldCharType="end"/>
        </w:r>
      </w:hyperlink>
    </w:p>
    <w:p w:rsidR="00123DE3" w:rsidRPr="00306F9C" w:rsidRDefault="00AE358C">
      <w:pPr>
        <w:pStyle w:val="TOC3"/>
        <w:tabs>
          <w:tab w:val="left" w:pos="1985"/>
          <w:tab w:val="right" w:leader="dot" w:pos="9060"/>
        </w:tabs>
        <w:rPr>
          <w:rFonts w:eastAsiaTheme="minorEastAsia"/>
          <w:noProof/>
          <w:lang w:eastAsia="en-GB"/>
        </w:rPr>
      </w:pPr>
      <w:hyperlink w:anchor="_Toc453842111" w:history="1">
        <w:r w:rsidR="00123DE3" w:rsidRPr="00306F9C">
          <w:rPr>
            <w:rStyle w:val="Hyperlink"/>
            <w:noProof/>
          </w:rPr>
          <w:t>2.2.1</w:t>
        </w:r>
        <w:r w:rsidR="00123DE3" w:rsidRPr="00306F9C">
          <w:rPr>
            <w:rFonts w:eastAsiaTheme="minorEastAsia"/>
            <w:noProof/>
            <w:lang w:eastAsia="en-GB"/>
          </w:rPr>
          <w:tab/>
        </w:r>
        <w:r w:rsidR="00123DE3" w:rsidRPr="00306F9C">
          <w:rPr>
            <w:rStyle w:val="Hyperlink"/>
            <w:noProof/>
          </w:rPr>
          <w:t>Unem</w:t>
        </w:r>
        <w:bookmarkStart w:id="0" w:name="_GoBack"/>
        <w:bookmarkEnd w:id="0"/>
        <w:r w:rsidR="00123DE3" w:rsidRPr="00306F9C">
          <w:rPr>
            <w:rStyle w:val="Hyperlink"/>
            <w:noProof/>
          </w:rPr>
          <w:t>ployment</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_Toc453842111 \h </w:instrText>
        </w:r>
        <w:r w:rsidR="00123DE3" w:rsidRPr="00306F9C">
          <w:rPr>
            <w:noProof/>
            <w:webHidden/>
          </w:rPr>
        </w:r>
        <w:r w:rsidR="00123DE3" w:rsidRPr="00306F9C">
          <w:rPr>
            <w:noProof/>
            <w:webHidden/>
          </w:rPr>
          <w:fldChar w:fldCharType="separate"/>
        </w:r>
        <w:r>
          <w:rPr>
            <w:noProof/>
            <w:webHidden/>
          </w:rPr>
          <w:t>7</w:t>
        </w:r>
        <w:r w:rsidR="00123DE3" w:rsidRPr="00306F9C">
          <w:rPr>
            <w:noProof/>
            <w:webHidden/>
          </w:rPr>
          <w:fldChar w:fldCharType="end"/>
        </w:r>
      </w:hyperlink>
    </w:p>
    <w:p w:rsidR="00123DE3" w:rsidRPr="00306F9C" w:rsidRDefault="00AE358C">
      <w:pPr>
        <w:pStyle w:val="TOC3"/>
        <w:tabs>
          <w:tab w:val="left" w:pos="1985"/>
          <w:tab w:val="right" w:leader="dot" w:pos="9060"/>
        </w:tabs>
        <w:rPr>
          <w:rFonts w:eastAsiaTheme="minorEastAsia"/>
          <w:noProof/>
          <w:lang w:eastAsia="en-GB"/>
        </w:rPr>
      </w:pPr>
      <w:hyperlink w:anchor="_Toc453842112" w:history="1">
        <w:r w:rsidR="00123DE3" w:rsidRPr="00306F9C">
          <w:rPr>
            <w:rStyle w:val="Hyperlink"/>
            <w:noProof/>
          </w:rPr>
          <w:t>2.2.2</w:t>
        </w:r>
        <w:r w:rsidR="00123DE3" w:rsidRPr="00306F9C">
          <w:rPr>
            <w:rFonts w:eastAsiaTheme="minorEastAsia"/>
            <w:noProof/>
            <w:lang w:eastAsia="en-GB"/>
          </w:rPr>
          <w:tab/>
        </w:r>
        <w:r w:rsidR="00123DE3" w:rsidRPr="00306F9C">
          <w:rPr>
            <w:rStyle w:val="Hyperlink"/>
            <w:noProof/>
          </w:rPr>
          <w:t>Economic activity</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_Toc453842112 \h </w:instrText>
        </w:r>
        <w:r w:rsidR="00123DE3" w:rsidRPr="00306F9C">
          <w:rPr>
            <w:noProof/>
            <w:webHidden/>
          </w:rPr>
        </w:r>
        <w:r w:rsidR="00123DE3" w:rsidRPr="00306F9C">
          <w:rPr>
            <w:noProof/>
            <w:webHidden/>
          </w:rPr>
          <w:fldChar w:fldCharType="separate"/>
        </w:r>
        <w:r>
          <w:rPr>
            <w:noProof/>
            <w:webHidden/>
          </w:rPr>
          <w:t>10</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13" w:history="1">
        <w:r w:rsidR="00123DE3" w:rsidRPr="00306F9C">
          <w:rPr>
            <w:rStyle w:val="Hyperlink"/>
            <w:noProof/>
          </w:rPr>
          <w:t>2.3</w:t>
        </w:r>
        <w:r w:rsidR="00123DE3" w:rsidRPr="00306F9C">
          <w:rPr>
            <w:rFonts w:eastAsiaTheme="minorEastAsia"/>
            <w:noProof/>
            <w:lang w:eastAsia="en-GB"/>
          </w:rPr>
          <w:tab/>
        </w:r>
        <w:r w:rsidR="00123DE3" w:rsidRPr="00306F9C">
          <w:rPr>
            <w:rStyle w:val="Hyperlink"/>
            <w:noProof/>
          </w:rPr>
          <w:t>Education data</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_Toc453842113 \h </w:instrText>
        </w:r>
        <w:r w:rsidR="00123DE3" w:rsidRPr="00306F9C">
          <w:rPr>
            <w:noProof/>
            <w:webHidden/>
          </w:rPr>
        </w:r>
        <w:r w:rsidR="00123DE3" w:rsidRPr="00306F9C">
          <w:rPr>
            <w:noProof/>
            <w:webHidden/>
          </w:rPr>
          <w:fldChar w:fldCharType="separate"/>
        </w:r>
        <w:r>
          <w:rPr>
            <w:noProof/>
            <w:webHidden/>
          </w:rPr>
          <w:t>11</w:t>
        </w:r>
        <w:r w:rsidR="00123DE3" w:rsidRPr="00306F9C">
          <w:rPr>
            <w:noProof/>
            <w:webHidden/>
          </w:rPr>
          <w:fldChar w:fldCharType="end"/>
        </w:r>
      </w:hyperlink>
    </w:p>
    <w:p w:rsidR="00123DE3" w:rsidRPr="00306F9C" w:rsidRDefault="00AE358C">
      <w:pPr>
        <w:pStyle w:val="TOC3"/>
        <w:tabs>
          <w:tab w:val="left" w:pos="1985"/>
          <w:tab w:val="right" w:leader="dot" w:pos="9060"/>
        </w:tabs>
        <w:rPr>
          <w:rFonts w:eastAsiaTheme="minorEastAsia"/>
          <w:noProof/>
          <w:lang w:eastAsia="en-GB"/>
        </w:rPr>
      </w:pPr>
      <w:hyperlink w:anchor="_Toc453842114" w:history="1">
        <w:r w:rsidR="00123DE3" w:rsidRPr="00306F9C">
          <w:rPr>
            <w:rStyle w:val="Hyperlink"/>
            <w:noProof/>
          </w:rPr>
          <w:t>2.3.1</w:t>
        </w:r>
        <w:r w:rsidR="00123DE3" w:rsidRPr="00306F9C">
          <w:rPr>
            <w:rFonts w:eastAsiaTheme="minorEastAsia"/>
            <w:noProof/>
            <w:lang w:eastAsia="en-GB"/>
          </w:rPr>
          <w:tab/>
        </w:r>
        <w:r w:rsidR="00123DE3" w:rsidRPr="00306F9C">
          <w:rPr>
            <w:rStyle w:val="Hyperlink"/>
            <w:noProof/>
          </w:rPr>
          <w:t>Early school leavers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_Toc453842114 \h </w:instrText>
        </w:r>
        <w:r w:rsidR="00123DE3" w:rsidRPr="00306F9C">
          <w:rPr>
            <w:noProof/>
            <w:webHidden/>
          </w:rPr>
        </w:r>
        <w:r w:rsidR="00123DE3" w:rsidRPr="00306F9C">
          <w:rPr>
            <w:noProof/>
            <w:webHidden/>
          </w:rPr>
          <w:fldChar w:fldCharType="separate"/>
        </w:r>
        <w:r>
          <w:rPr>
            <w:noProof/>
            <w:webHidden/>
          </w:rPr>
          <w:t>12</w:t>
        </w:r>
        <w:r w:rsidR="00123DE3" w:rsidRPr="00306F9C">
          <w:rPr>
            <w:noProof/>
            <w:webHidden/>
          </w:rPr>
          <w:fldChar w:fldCharType="end"/>
        </w:r>
      </w:hyperlink>
    </w:p>
    <w:p w:rsidR="00123DE3" w:rsidRPr="00306F9C" w:rsidRDefault="00AE358C">
      <w:pPr>
        <w:pStyle w:val="TOC3"/>
        <w:tabs>
          <w:tab w:val="left" w:pos="1985"/>
          <w:tab w:val="right" w:leader="dot" w:pos="9060"/>
        </w:tabs>
        <w:rPr>
          <w:rFonts w:eastAsiaTheme="minorEastAsia"/>
          <w:noProof/>
          <w:lang w:eastAsia="en-GB"/>
        </w:rPr>
      </w:pPr>
      <w:hyperlink w:anchor="_Toc453842115" w:history="1">
        <w:r w:rsidR="00123DE3" w:rsidRPr="00306F9C">
          <w:rPr>
            <w:rStyle w:val="Hyperlink"/>
            <w:noProof/>
          </w:rPr>
          <w:t>2.3.2</w:t>
        </w:r>
        <w:r w:rsidR="00123DE3" w:rsidRPr="00306F9C">
          <w:rPr>
            <w:rFonts w:eastAsiaTheme="minorEastAsia"/>
            <w:noProof/>
            <w:lang w:eastAsia="en-GB"/>
          </w:rPr>
          <w:tab/>
        </w:r>
        <w:r w:rsidR="00123DE3" w:rsidRPr="00306F9C">
          <w:rPr>
            <w:rStyle w:val="Hyperlink"/>
            <w:noProof/>
          </w:rPr>
          <w:t>Tertiary education</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_Toc453842115 \h </w:instrText>
        </w:r>
        <w:r w:rsidR="00123DE3" w:rsidRPr="00306F9C">
          <w:rPr>
            <w:noProof/>
            <w:webHidden/>
          </w:rPr>
        </w:r>
        <w:r w:rsidR="00123DE3" w:rsidRPr="00306F9C">
          <w:rPr>
            <w:noProof/>
            <w:webHidden/>
          </w:rPr>
          <w:fldChar w:fldCharType="separate"/>
        </w:r>
        <w:r>
          <w:rPr>
            <w:noProof/>
            <w:webHidden/>
          </w:rPr>
          <w:t>13</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16" w:history="1">
        <w:r w:rsidR="00123DE3" w:rsidRPr="00306F9C">
          <w:rPr>
            <w:rStyle w:val="Hyperlink"/>
            <w:noProof/>
          </w:rPr>
          <w:t>2.4</w:t>
        </w:r>
        <w:r w:rsidR="00123DE3" w:rsidRPr="00306F9C">
          <w:rPr>
            <w:rFonts w:eastAsiaTheme="minorEastAsia"/>
            <w:noProof/>
            <w:lang w:eastAsia="en-GB"/>
          </w:rPr>
          <w:tab/>
        </w:r>
        <w:r w:rsidR="00123DE3" w:rsidRPr="00306F9C">
          <w:rPr>
            <w:rStyle w:val="Hyperlink"/>
            <w:noProof/>
          </w:rPr>
          <w:t>Poverty and social exclusion data</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_Toc453842116 \h </w:instrText>
        </w:r>
        <w:r w:rsidR="00123DE3" w:rsidRPr="00306F9C">
          <w:rPr>
            <w:noProof/>
            <w:webHidden/>
          </w:rPr>
        </w:r>
        <w:r w:rsidR="00123DE3" w:rsidRPr="00306F9C">
          <w:rPr>
            <w:noProof/>
            <w:webHidden/>
          </w:rPr>
          <w:fldChar w:fldCharType="separate"/>
        </w:r>
        <w:r>
          <w:rPr>
            <w:noProof/>
            <w:webHidden/>
          </w:rPr>
          <w:t>15</w:t>
        </w:r>
        <w:r w:rsidR="00123DE3" w:rsidRPr="00306F9C">
          <w:rPr>
            <w:noProof/>
            <w:webHidden/>
          </w:rPr>
          <w:fldChar w:fldCharType="end"/>
        </w:r>
      </w:hyperlink>
    </w:p>
    <w:p w:rsidR="00123DE3" w:rsidRPr="00306F9C" w:rsidRDefault="00AE358C">
      <w:pPr>
        <w:pStyle w:val="TOC1"/>
        <w:tabs>
          <w:tab w:val="right" w:leader="dot" w:pos="9060"/>
        </w:tabs>
        <w:rPr>
          <w:rFonts w:eastAsiaTheme="minorEastAsia"/>
          <w:noProof/>
          <w:lang w:eastAsia="en-GB"/>
        </w:rPr>
      </w:pPr>
      <w:hyperlink w:anchor="_Toc453842117" w:history="1">
        <w:r w:rsidR="00123DE3" w:rsidRPr="00306F9C">
          <w:rPr>
            <w:rStyle w:val="Hyperlink"/>
            <w:noProof/>
          </w:rPr>
          <w:t>3</w:t>
        </w:r>
        <w:r w:rsidR="00123DE3" w:rsidRPr="00306F9C">
          <w:rPr>
            <w:rFonts w:eastAsiaTheme="minorEastAsia"/>
            <w:noProof/>
            <w:lang w:eastAsia="en-GB"/>
          </w:rPr>
          <w:tab/>
        </w:r>
        <w:r w:rsidR="00123DE3" w:rsidRPr="00306F9C">
          <w:rPr>
            <w:rStyle w:val="Hyperlink"/>
            <w:noProof/>
          </w:rPr>
          <w:t>Description of the situation and trends in relation to each target area</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_Toc453842117 \h </w:instrText>
        </w:r>
        <w:r w:rsidR="00123DE3" w:rsidRPr="00306F9C">
          <w:rPr>
            <w:noProof/>
            <w:webHidden/>
          </w:rPr>
        </w:r>
        <w:r w:rsidR="00123DE3" w:rsidRPr="00306F9C">
          <w:rPr>
            <w:noProof/>
            <w:webHidden/>
          </w:rPr>
          <w:fldChar w:fldCharType="separate"/>
        </w:r>
        <w:r>
          <w:rPr>
            <w:noProof/>
            <w:webHidden/>
          </w:rPr>
          <w:t>19</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18" w:history="1">
        <w:r w:rsidR="00123DE3" w:rsidRPr="00306F9C">
          <w:rPr>
            <w:rStyle w:val="Hyperlink"/>
            <w:noProof/>
          </w:rPr>
          <w:t>3.1</w:t>
        </w:r>
        <w:r w:rsidR="00123DE3" w:rsidRPr="00306F9C">
          <w:rPr>
            <w:rFonts w:eastAsiaTheme="minorEastAsia"/>
            <w:noProof/>
            <w:lang w:eastAsia="en-GB"/>
          </w:rPr>
          <w:tab/>
        </w:r>
        <w:r w:rsidR="00123DE3" w:rsidRPr="00306F9C">
          <w:rPr>
            <w:rStyle w:val="Hyperlink"/>
            <w:noProof/>
          </w:rPr>
          <w:t>Employment</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_Toc453842118 \h </w:instrText>
        </w:r>
        <w:r w:rsidR="00123DE3" w:rsidRPr="00306F9C">
          <w:rPr>
            <w:noProof/>
            <w:webHidden/>
          </w:rPr>
        </w:r>
        <w:r w:rsidR="00123DE3" w:rsidRPr="00306F9C">
          <w:rPr>
            <w:noProof/>
            <w:webHidden/>
          </w:rPr>
          <w:fldChar w:fldCharType="separate"/>
        </w:r>
        <w:r>
          <w:rPr>
            <w:noProof/>
            <w:webHidden/>
          </w:rPr>
          <w:t>19</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19" w:history="1">
        <w:r w:rsidR="00123DE3" w:rsidRPr="00306F9C">
          <w:rPr>
            <w:rStyle w:val="Hyperlink"/>
            <w:noProof/>
          </w:rPr>
          <w:t>3.2</w:t>
        </w:r>
        <w:r w:rsidR="00123DE3" w:rsidRPr="00306F9C">
          <w:rPr>
            <w:rFonts w:eastAsiaTheme="minorEastAsia"/>
            <w:noProof/>
            <w:lang w:eastAsia="en-GB"/>
          </w:rPr>
          <w:tab/>
        </w:r>
        <w:r w:rsidR="00123DE3" w:rsidRPr="00306F9C">
          <w:rPr>
            <w:rStyle w:val="Hyperlink"/>
            <w:noProof/>
          </w:rPr>
          <w:t>Education</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_Toc453842119 \h </w:instrText>
        </w:r>
        <w:r w:rsidR="00123DE3" w:rsidRPr="00306F9C">
          <w:rPr>
            <w:noProof/>
            <w:webHidden/>
          </w:rPr>
        </w:r>
        <w:r w:rsidR="00123DE3" w:rsidRPr="00306F9C">
          <w:rPr>
            <w:noProof/>
            <w:webHidden/>
          </w:rPr>
          <w:fldChar w:fldCharType="separate"/>
        </w:r>
        <w:r>
          <w:rPr>
            <w:noProof/>
            <w:webHidden/>
          </w:rPr>
          <w:t>20</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0" w:history="1">
        <w:r w:rsidR="00123DE3" w:rsidRPr="00306F9C">
          <w:rPr>
            <w:rStyle w:val="Hyperlink"/>
            <w:noProof/>
          </w:rPr>
          <w:t>3.3</w:t>
        </w:r>
        <w:r w:rsidR="00123DE3" w:rsidRPr="00306F9C">
          <w:rPr>
            <w:rFonts w:eastAsiaTheme="minorEastAsia"/>
            <w:noProof/>
            <w:lang w:eastAsia="en-GB"/>
          </w:rPr>
          <w:tab/>
        </w:r>
        <w:r w:rsidR="00123DE3" w:rsidRPr="00306F9C">
          <w:rPr>
            <w:rStyle w:val="Hyperlink"/>
            <w:noProof/>
          </w:rPr>
          <w:t>Poverty and social inclusion</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_Toc453842120 \h </w:instrText>
        </w:r>
        <w:r w:rsidR="00123DE3" w:rsidRPr="00306F9C">
          <w:rPr>
            <w:noProof/>
            <w:webHidden/>
          </w:rPr>
        </w:r>
        <w:r w:rsidR="00123DE3" w:rsidRPr="00306F9C">
          <w:rPr>
            <w:noProof/>
            <w:webHidden/>
          </w:rPr>
          <w:fldChar w:fldCharType="separate"/>
        </w:r>
        <w:r>
          <w:rPr>
            <w:noProof/>
            <w:webHidden/>
          </w:rPr>
          <w:t>21</w:t>
        </w:r>
        <w:r w:rsidR="00123DE3" w:rsidRPr="00306F9C">
          <w:rPr>
            <w:noProof/>
            <w:webHidden/>
          </w:rPr>
          <w:fldChar w:fldCharType="end"/>
        </w:r>
      </w:hyperlink>
    </w:p>
    <w:p w:rsidR="00123DE3" w:rsidRPr="00306F9C" w:rsidRDefault="00AE358C">
      <w:pPr>
        <w:pStyle w:val="TOC1"/>
        <w:tabs>
          <w:tab w:val="right" w:leader="dot" w:pos="9060"/>
        </w:tabs>
        <w:rPr>
          <w:rFonts w:eastAsiaTheme="minorEastAsia"/>
          <w:noProof/>
          <w:lang w:eastAsia="en-GB"/>
        </w:rPr>
      </w:pPr>
      <w:hyperlink w:anchor="_Toc453842121" w:history="1">
        <w:r w:rsidR="00123DE3" w:rsidRPr="00306F9C">
          <w:rPr>
            <w:rStyle w:val="Hyperlink"/>
            <w:noProof/>
            <w:lang w:eastAsia="en-GB"/>
          </w:rPr>
          <w:t>4</w:t>
        </w:r>
        <w:r w:rsidR="00123DE3" w:rsidRPr="00306F9C">
          <w:rPr>
            <w:rFonts w:eastAsiaTheme="minorEastAsia"/>
            <w:noProof/>
            <w:lang w:eastAsia="en-GB"/>
          </w:rPr>
          <w:tab/>
        </w:r>
        <w:r w:rsidR="00123DE3" w:rsidRPr="00306F9C">
          <w:rPr>
            <w:rStyle w:val="Hyperlink"/>
            <w:noProof/>
            <w:lang w:eastAsia="en-GB"/>
          </w:rPr>
          <w:t>Assessment of policies in place to meet the relevant headline targets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_Toc453842121 \h </w:instrText>
        </w:r>
        <w:r w:rsidR="00123DE3" w:rsidRPr="00306F9C">
          <w:rPr>
            <w:noProof/>
            <w:webHidden/>
          </w:rPr>
        </w:r>
        <w:r w:rsidR="00123DE3" w:rsidRPr="00306F9C">
          <w:rPr>
            <w:noProof/>
            <w:webHidden/>
          </w:rPr>
          <w:fldChar w:fldCharType="separate"/>
        </w:r>
        <w:r>
          <w:rPr>
            <w:noProof/>
            <w:webHidden/>
          </w:rPr>
          <w:t>23</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2" w:history="1">
        <w:r w:rsidR="00123DE3" w:rsidRPr="00306F9C">
          <w:rPr>
            <w:rStyle w:val="Hyperlink"/>
            <w:noProof/>
          </w:rPr>
          <w:t>4.1</w:t>
        </w:r>
        <w:r w:rsidR="00123DE3" w:rsidRPr="00306F9C">
          <w:rPr>
            <w:rFonts w:eastAsiaTheme="minorEastAsia"/>
            <w:noProof/>
            <w:lang w:eastAsia="en-GB"/>
          </w:rPr>
          <w:tab/>
        </w:r>
        <w:r w:rsidR="00123DE3" w:rsidRPr="00306F9C">
          <w:rPr>
            <w:rStyle w:val="Hyperlink"/>
            <w:noProof/>
          </w:rPr>
          <w:t>Employment</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_Toc453842122 \h </w:instrText>
        </w:r>
        <w:r w:rsidR="00123DE3" w:rsidRPr="00306F9C">
          <w:rPr>
            <w:noProof/>
            <w:webHidden/>
          </w:rPr>
        </w:r>
        <w:r w:rsidR="00123DE3" w:rsidRPr="00306F9C">
          <w:rPr>
            <w:noProof/>
            <w:webHidden/>
          </w:rPr>
          <w:fldChar w:fldCharType="separate"/>
        </w:r>
        <w:r>
          <w:rPr>
            <w:noProof/>
            <w:webHidden/>
          </w:rPr>
          <w:t>23</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3" w:history="1">
        <w:r w:rsidR="00123DE3" w:rsidRPr="00306F9C">
          <w:rPr>
            <w:rStyle w:val="Hyperlink"/>
            <w:noProof/>
          </w:rPr>
          <w:t>4.2</w:t>
        </w:r>
        <w:r w:rsidR="00123DE3" w:rsidRPr="00306F9C">
          <w:rPr>
            <w:rFonts w:eastAsiaTheme="minorEastAsia"/>
            <w:noProof/>
            <w:lang w:eastAsia="en-GB"/>
          </w:rPr>
          <w:tab/>
        </w:r>
        <w:r w:rsidR="00123DE3" w:rsidRPr="00306F9C">
          <w:rPr>
            <w:rStyle w:val="Hyperlink"/>
            <w:noProof/>
          </w:rPr>
          <w:t>Education</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_Toc453842123 \h </w:instrText>
        </w:r>
        <w:r w:rsidR="00123DE3" w:rsidRPr="00306F9C">
          <w:rPr>
            <w:noProof/>
            <w:webHidden/>
          </w:rPr>
        </w:r>
        <w:r w:rsidR="00123DE3" w:rsidRPr="00306F9C">
          <w:rPr>
            <w:noProof/>
            <w:webHidden/>
          </w:rPr>
          <w:fldChar w:fldCharType="separate"/>
        </w:r>
        <w:r>
          <w:rPr>
            <w:noProof/>
            <w:webHidden/>
          </w:rPr>
          <w:t>24</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4" w:history="1">
        <w:r w:rsidR="00123DE3" w:rsidRPr="00306F9C">
          <w:rPr>
            <w:rStyle w:val="Hyperlink"/>
            <w:noProof/>
          </w:rPr>
          <w:t>4.3</w:t>
        </w:r>
        <w:r w:rsidR="00123DE3" w:rsidRPr="00306F9C">
          <w:rPr>
            <w:rFonts w:eastAsiaTheme="minorEastAsia"/>
            <w:noProof/>
            <w:lang w:eastAsia="en-GB"/>
          </w:rPr>
          <w:tab/>
        </w:r>
        <w:r w:rsidR="00123DE3" w:rsidRPr="00306F9C">
          <w:rPr>
            <w:rStyle w:val="Hyperlink"/>
            <w:noProof/>
          </w:rPr>
          <w:t>Poverty and social inclusion</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_Toc453842124 \h </w:instrText>
        </w:r>
        <w:r w:rsidR="00123DE3" w:rsidRPr="00306F9C">
          <w:rPr>
            <w:noProof/>
            <w:webHidden/>
          </w:rPr>
        </w:r>
        <w:r w:rsidR="00123DE3" w:rsidRPr="00306F9C">
          <w:rPr>
            <w:noProof/>
            <w:webHidden/>
          </w:rPr>
          <w:fldChar w:fldCharType="separate"/>
        </w:r>
        <w:r>
          <w:rPr>
            <w:noProof/>
            <w:webHidden/>
          </w:rPr>
          <w:t>25</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5" w:history="1">
        <w:r w:rsidR="00123DE3" w:rsidRPr="00306F9C">
          <w:rPr>
            <w:rStyle w:val="Hyperlink"/>
            <w:noProof/>
            <w:lang w:eastAsia="en-GB"/>
          </w:rPr>
          <w:t>4.4</w:t>
        </w:r>
        <w:r w:rsidR="00123DE3" w:rsidRPr="00306F9C">
          <w:rPr>
            <w:rFonts w:eastAsiaTheme="minorEastAsia"/>
            <w:noProof/>
            <w:lang w:eastAsia="en-GB"/>
          </w:rPr>
          <w:tab/>
        </w:r>
        <w:r w:rsidR="00123DE3" w:rsidRPr="00306F9C">
          <w:rPr>
            <w:rStyle w:val="Hyperlink"/>
            <w:noProof/>
            <w:lang w:eastAsia="en-GB"/>
          </w:rPr>
          <w:t>Synergies between developments in the different areas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_Toc453842125 \h </w:instrText>
        </w:r>
        <w:r w:rsidR="00123DE3" w:rsidRPr="00306F9C">
          <w:rPr>
            <w:noProof/>
            <w:webHidden/>
          </w:rPr>
        </w:r>
        <w:r w:rsidR="00123DE3" w:rsidRPr="00306F9C">
          <w:rPr>
            <w:noProof/>
            <w:webHidden/>
          </w:rPr>
          <w:fldChar w:fldCharType="separate"/>
        </w:r>
        <w:r>
          <w:rPr>
            <w:noProof/>
            <w:webHidden/>
          </w:rPr>
          <w:t>27</w:t>
        </w:r>
        <w:r w:rsidR="00123DE3" w:rsidRPr="00306F9C">
          <w:rPr>
            <w:noProof/>
            <w:webHidden/>
          </w:rPr>
          <w:fldChar w:fldCharType="end"/>
        </w:r>
      </w:hyperlink>
    </w:p>
    <w:p w:rsidR="00123DE3" w:rsidRPr="00306F9C" w:rsidRDefault="00AE358C">
      <w:pPr>
        <w:pStyle w:val="TOC1"/>
        <w:tabs>
          <w:tab w:val="right" w:leader="dot" w:pos="9060"/>
        </w:tabs>
        <w:rPr>
          <w:rFonts w:eastAsiaTheme="minorEastAsia"/>
          <w:noProof/>
          <w:lang w:eastAsia="en-GB"/>
        </w:rPr>
      </w:pPr>
      <w:hyperlink w:anchor="_Toc453842126" w:history="1">
        <w:r w:rsidR="00123DE3" w:rsidRPr="00306F9C">
          <w:rPr>
            <w:rStyle w:val="Hyperlink"/>
            <w:noProof/>
            <w:lang w:eastAsia="en-GB"/>
          </w:rPr>
          <w:t>5</w:t>
        </w:r>
        <w:r w:rsidR="00123DE3" w:rsidRPr="00306F9C">
          <w:rPr>
            <w:rFonts w:eastAsiaTheme="minorEastAsia"/>
            <w:noProof/>
            <w:lang w:eastAsia="en-GB"/>
          </w:rPr>
          <w:tab/>
        </w:r>
        <w:r w:rsidR="00123DE3" w:rsidRPr="00306F9C">
          <w:rPr>
            <w:rStyle w:val="Hyperlink"/>
            <w:noProof/>
            <w:lang w:eastAsia="en-GB"/>
          </w:rPr>
          <w:t>Review of the European Semester from a disability perspective</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_Toc453842126 \h </w:instrText>
        </w:r>
        <w:r w:rsidR="00123DE3" w:rsidRPr="00306F9C">
          <w:rPr>
            <w:noProof/>
            <w:webHidden/>
          </w:rPr>
        </w:r>
        <w:r w:rsidR="00123DE3" w:rsidRPr="00306F9C">
          <w:rPr>
            <w:noProof/>
            <w:webHidden/>
          </w:rPr>
          <w:fldChar w:fldCharType="separate"/>
        </w:r>
        <w:r>
          <w:rPr>
            <w:noProof/>
            <w:webHidden/>
          </w:rPr>
          <w:t>29</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7" w:history="1">
        <w:r w:rsidR="00123DE3" w:rsidRPr="00306F9C">
          <w:rPr>
            <w:rStyle w:val="Hyperlink"/>
            <w:noProof/>
          </w:rPr>
          <w:t>5.1</w:t>
        </w:r>
        <w:r w:rsidR="00123DE3" w:rsidRPr="00306F9C">
          <w:rPr>
            <w:rFonts w:eastAsiaTheme="minorEastAsia"/>
            <w:noProof/>
            <w:lang w:eastAsia="en-GB"/>
          </w:rPr>
          <w:tab/>
        </w:r>
        <w:r w:rsidR="00123DE3" w:rsidRPr="00306F9C">
          <w:rPr>
            <w:rStyle w:val="Hyperlink"/>
            <w:noProof/>
          </w:rPr>
          <w:t>Progress on disability-specific Country Specific Recommendations (CSRs)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_Toc453842127 \h </w:instrText>
        </w:r>
        <w:r w:rsidR="00123DE3" w:rsidRPr="00306F9C">
          <w:rPr>
            <w:noProof/>
            <w:webHidden/>
          </w:rPr>
        </w:r>
        <w:r w:rsidR="00123DE3" w:rsidRPr="00306F9C">
          <w:rPr>
            <w:noProof/>
            <w:webHidden/>
          </w:rPr>
          <w:fldChar w:fldCharType="separate"/>
        </w:r>
        <w:r>
          <w:rPr>
            <w:noProof/>
            <w:webHidden/>
          </w:rPr>
          <w:t>29</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8" w:history="1">
        <w:r w:rsidR="00123DE3" w:rsidRPr="00306F9C">
          <w:rPr>
            <w:rStyle w:val="Hyperlink"/>
            <w:noProof/>
            <w:lang w:eastAsia="en-GB"/>
          </w:rPr>
          <w:t>5.2</w:t>
        </w:r>
        <w:r w:rsidR="00123DE3" w:rsidRPr="00306F9C">
          <w:rPr>
            <w:rFonts w:eastAsiaTheme="minorEastAsia"/>
            <w:noProof/>
            <w:lang w:eastAsia="en-GB"/>
          </w:rPr>
          <w:tab/>
        </w:r>
        <w:r w:rsidR="00123DE3" w:rsidRPr="00306F9C">
          <w:rPr>
            <w:rStyle w:val="Hyperlink"/>
            <w:noProof/>
            <w:lang w:eastAsia="en-GB"/>
          </w:rPr>
          <w:t>Progress on other CSRs from a disability perspective</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_Toc453842128 \h </w:instrText>
        </w:r>
        <w:r w:rsidR="00123DE3" w:rsidRPr="00306F9C">
          <w:rPr>
            <w:noProof/>
            <w:webHidden/>
          </w:rPr>
        </w:r>
        <w:r w:rsidR="00123DE3" w:rsidRPr="00306F9C">
          <w:rPr>
            <w:noProof/>
            <w:webHidden/>
          </w:rPr>
          <w:fldChar w:fldCharType="separate"/>
        </w:r>
        <w:r>
          <w:rPr>
            <w:noProof/>
            <w:webHidden/>
          </w:rPr>
          <w:t>29</w:t>
        </w:r>
        <w:r w:rsidR="00123DE3" w:rsidRPr="00306F9C">
          <w:rPr>
            <w:noProof/>
            <w:webHidden/>
          </w:rPr>
          <w:fldChar w:fldCharType="end"/>
        </w:r>
      </w:hyperlink>
    </w:p>
    <w:p w:rsidR="00123DE3" w:rsidRPr="00306F9C" w:rsidRDefault="00AE358C">
      <w:pPr>
        <w:pStyle w:val="TOC2"/>
        <w:tabs>
          <w:tab w:val="left" w:pos="1134"/>
          <w:tab w:val="right" w:leader="dot" w:pos="9060"/>
        </w:tabs>
        <w:rPr>
          <w:rFonts w:eastAsiaTheme="minorEastAsia"/>
          <w:noProof/>
          <w:lang w:eastAsia="en-GB"/>
        </w:rPr>
      </w:pPr>
      <w:hyperlink w:anchor="_Toc453842129" w:history="1">
        <w:r w:rsidR="00123DE3" w:rsidRPr="00306F9C">
          <w:rPr>
            <w:rStyle w:val="Hyperlink"/>
            <w:noProof/>
            <w:lang w:eastAsia="en-GB"/>
          </w:rPr>
          <w:t>5.3</w:t>
        </w:r>
        <w:r w:rsidR="00123DE3" w:rsidRPr="00306F9C">
          <w:rPr>
            <w:rFonts w:eastAsiaTheme="minorEastAsia"/>
            <w:noProof/>
            <w:lang w:eastAsia="en-GB"/>
          </w:rPr>
          <w:tab/>
        </w:r>
        <w:r w:rsidR="00123DE3" w:rsidRPr="00306F9C">
          <w:rPr>
            <w:rStyle w:val="Hyperlink"/>
            <w:noProof/>
            <w:lang w:eastAsia="en-GB"/>
          </w:rPr>
          <w:t>Assessment of disability issues in the Country Report (CR)</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_Toc453842129 \h </w:instrText>
        </w:r>
        <w:r w:rsidR="00123DE3" w:rsidRPr="00306F9C">
          <w:rPr>
            <w:noProof/>
            <w:webHidden/>
          </w:rPr>
        </w:r>
        <w:r w:rsidR="00123DE3" w:rsidRPr="00306F9C">
          <w:rPr>
            <w:noProof/>
            <w:webHidden/>
          </w:rPr>
          <w:fldChar w:fldCharType="separate"/>
        </w:r>
        <w:r>
          <w:rPr>
            <w:noProof/>
            <w:webHidden/>
          </w:rPr>
          <w:t>29</w:t>
        </w:r>
        <w:r w:rsidR="00123DE3" w:rsidRPr="00306F9C">
          <w:rPr>
            <w:noProof/>
            <w:webHidden/>
          </w:rPr>
          <w:fldChar w:fldCharType="end"/>
        </w:r>
      </w:hyperlink>
    </w:p>
    <w:p w:rsidR="00123DE3" w:rsidRPr="00306F9C" w:rsidRDefault="00AE358C">
      <w:pPr>
        <w:pStyle w:val="TOC1"/>
        <w:tabs>
          <w:tab w:val="right" w:leader="dot" w:pos="9060"/>
        </w:tabs>
        <w:rPr>
          <w:rFonts w:eastAsiaTheme="minorEastAsia"/>
          <w:noProof/>
          <w:lang w:eastAsia="en-GB"/>
        </w:rPr>
      </w:pPr>
      <w:hyperlink w:anchor="_Toc453842130" w:history="1">
        <w:r w:rsidR="00123DE3" w:rsidRPr="00306F9C">
          <w:rPr>
            <w:rStyle w:val="Hyperlink"/>
            <w:noProof/>
            <w:lang w:eastAsia="en-GB"/>
          </w:rPr>
          <w:t>6</w:t>
        </w:r>
        <w:r w:rsidR="00123DE3" w:rsidRPr="00306F9C">
          <w:rPr>
            <w:rFonts w:eastAsiaTheme="minorEastAsia"/>
            <w:noProof/>
            <w:lang w:eastAsia="en-GB"/>
          </w:rPr>
          <w:tab/>
        </w:r>
        <w:r w:rsidR="00123DE3" w:rsidRPr="00306F9C">
          <w:rPr>
            <w:rStyle w:val="Hyperlink"/>
            <w:noProof/>
            <w:lang w:eastAsia="en-GB"/>
          </w:rPr>
          <w:t>Assessment of the structural funds ESIF 2014-2020 or other relevant funds</w:t>
        </w:r>
        <w:r w:rsidR="00123DE3" w:rsidRPr="00306F9C">
          <w:rPr>
            <w:rStyle w:val="Hyperlink"/>
            <w:noProof/>
          </w:rPr>
          <w:t xml:space="preserve"> </w:t>
        </w:r>
        <w:r w:rsidR="00123DE3" w:rsidRPr="00306F9C">
          <w:rPr>
            <w:rStyle w:val="Hyperlink"/>
            <w:noProof/>
            <w:lang w:eastAsia="en-GB"/>
          </w:rPr>
          <w:t>in relation to disability challenges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_Toc453842130 \h </w:instrText>
        </w:r>
        <w:r w:rsidR="00123DE3" w:rsidRPr="00306F9C">
          <w:rPr>
            <w:noProof/>
            <w:webHidden/>
          </w:rPr>
        </w:r>
        <w:r w:rsidR="00123DE3" w:rsidRPr="00306F9C">
          <w:rPr>
            <w:noProof/>
            <w:webHidden/>
          </w:rPr>
          <w:fldChar w:fldCharType="separate"/>
        </w:r>
        <w:r>
          <w:rPr>
            <w:noProof/>
            <w:webHidden/>
          </w:rPr>
          <w:t>31</w:t>
        </w:r>
        <w:r w:rsidR="00123DE3" w:rsidRPr="00306F9C">
          <w:rPr>
            <w:noProof/>
            <w:webHidden/>
          </w:rPr>
          <w:fldChar w:fldCharType="end"/>
        </w:r>
      </w:hyperlink>
    </w:p>
    <w:p w:rsidR="00123DE3" w:rsidRPr="00306F9C" w:rsidRDefault="00AE358C">
      <w:pPr>
        <w:pStyle w:val="TOC1"/>
        <w:tabs>
          <w:tab w:val="right" w:leader="dot" w:pos="9060"/>
        </w:tabs>
        <w:rPr>
          <w:rFonts w:eastAsiaTheme="minorEastAsia"/>
          <w:noProof/>
          <w:lang w:eastAsia="en-GB"/>
        </w:rPr>
      </w:pPr>
      <w:hyperlink w:anchor="_Toc453842131" w:history="1">
        <w:r w:rsidR="00123DE3" w:rsidRPr="00306F9C">
          <w:rPr>
            <w:rStyle w:val="Hyperlink"/>
            <w:noProof/>
            <w:lang w:eastAsia="en-GB"/>
          </w:rPr>
          <w:t>7</w:t>
        </w:r>
        <w:r w:rsidR="00123DE3" w:rsidRPr="00306F9C">
          <w:rPr>
            <w:rFonts w:eastAsiaTheme="minorEastAsia"/>
            <w:noProof/>
            <w:lang w:eastAsia="en-GB"/>
          </w:rPr>
          <w:tab/>
        </w:r>
        <w:r w:rsidR="00123DE3" w:rsidRPr="00306F9C">
          <w:rPr>
            <w:rStyle w:val="Hyperlink"/>
            <w:noProof/>
            <w:lang w:eastAsia="en-GB"/>
          </w:rPr>
          <w:t>Recommendations</w:t>
        </w:r>
        <w:r w:rsidR="00123DE3" w:rsidRPr="00306F9C">
          <w:rPr>
            <w:noProof/>
            <w:webHidden/>
          </w:rPr>
          <w:tab/>
        </w:r>
        <w:r w:rsidR="00123DE3" w:rsidRPr="00306F9C">
          <w:rPr>
            <w:noProof/>
            <w:webHidden/>
          </w:rPr>
          <w:fldChar w:fldCharType="begin"/>
        </w:r>
        <w:r w:rsidR="00123DE3" w:rsidRPr="00306F9C">
          <w:rPr>
            <w:noProof/>
            <w:webHidden/>
          </w:rPr>
          <w:instrText xml:space="preserve"> PAGEREF _Toc453842131 \h </w:instrText>
        </w:r>
        <w:r w:rsidR="00123DE3" w:rsidRPr="00306F9C">
          <w:rPr>
            <w:noProof/>
            <w:webHidden/>
          </w:rPr>
        </w:r>
        <w:r w:rsidR="00123DE3" w:rsidRPr="00306F9C">
          <w:rPr>
            <w:noProof/>
            <w:webHidden/>
          </w:rPr>
          <w:fldChar w:fldCharType="separate"/>
        </w:r>
        <w:r>
          <w:rPr>
            <w:noProof/>
            <w:webHidden/>
          </w:rPr>
          <w:t>33</w:t>
        </w:r>
        <w:r w:rsidR="00123DE3" w:rsidRPr="00306F9C">
          <w:rPr>
            <w:noProof/>
            <w:webHidden/>
          </w:rPr>
          <w:fldChar w:fldCharType="end"/>
        </w:r>
      </w:hyperlink>
    </w:p>
    <w:p w:rsidR="00123DE3" w:rsidRPr="00306F9C" w:rsidRDefault="00123DE3" w:rsidP="00123DE3">
      <w:r w:rsidRPr="00306F9C">
        <w:fldChar w:fldCharType="end"/>
      </w:r>
    </w:p>
    <w:p w:rsidR="004D01C6" w:rsidRPr="00306F9C" w:rsidRDefault="004D01C6" w:rsidP="00123DE3">
      <w:r w:rsidRPr="00306F9C">
        <w:br w:type="page"/>
      </w:r>
    </w:p>
    <w:p w:rsidR="004D01C6" w:rsidRPr="00306F9C" w:rsidRDefault="004D01C6" w:rsidP="00123DE3">
      <w:pPr>
        <w:pStyle w:val="Heading1"/>
        <w:rPr>
          <w:szCs w:val="24"/>
        </w:rPr>
      </w:pPr>
      <w:bookmarkStart w:id="1" w:name="_Toc429999631"/>
      <w:bookmarkStart w:id="2" w:name="_Toc453842107"/>
      <w:r w:rsidRPr="00306F9C">
        <w:rPr>
          <w:szCs w:val="24"/>
        </w:rPr>
        <w:lastRenderedPageBreak/>
        <w:t>Summary of the overall situation and challenges</w:t>
      </w:r>
      <w:bookmarkEnd w:id="1"/>
      <w:bookmarkEnd w:id="2"/>
    </w:p>
    <w:p w:rsidR="00123DE3" w:rsidRPr="00306F9C" w:rsidRDefault="00123DE3" w:rsidP="00123DE3"/>
    <w:p w:rsidR="00D61EB8" w:rsidRPr="00306F9C" w:rsidRDefault="004E766B" w:rsidP="00123DE3">
      <w:r w:rsidRPr="00306F9C">
        <w:t>Th</w:t>
      </w:r>
      <w:r w:rsidR="007939D7" w:rsidRPr="00306F9C">
        <w:t>is</w:t>
      </w:r>
      <w:r w:rsidRPr="00306F9C">
        <w:t xml:space="preserve"> report </w:t>
      </w:r>
      <w:r w:rsidR="007939D7" w:rsidRPr="00306F9C">
        <w:t>provide insights into</w:t>
      </w:r>
      <w:r w:rsidRPr="00306F9C">
        <w:t xml:space="preserve"> the situation of people with disabilities in </w:t>
      </w:r>
      <w:r w:rsidR="007939D7" w:rsidRPr="00306F9C">
        <w:t>Greece</w:t>
      </w:r>
      <w:r w:rsidRPr="00306F9C">
        <w:t xml:space="preserve"> </w:t>
      </w:r>
      <w:r w:rsidR="00B4330E" w:rsidRPr="00306F9C">
        <w:t>in the areas of employment, education and risk of poverty (EU2020</w:t>
      </w:r>
      <w:r w:rsidR="007939D7" w:rsidRPr="00306F9C">
        <w:t xml:space="preserve"> targets</w:t>
      </w:r>
      <w:r w:rsidR="00B4330E" w:rsidRPr="00306F9C">
        <w:t xml:space="preserve">) discussing the main challenges as they emerge from evidence </w:t>
      </w:r>
      <w:r w:rsidR="00CB0691" w:rsidRPr="00306F9C">
        <w:t xml:space="preserve">available </w:t>
      </w:r>
      <w:r w:rsidR="007939D7" w:rsidRPr="00306F9C">
        <w:t>mostly</w:t>
      </w:r>
      <w:r w:rsidR="00B4330E" w:rsidRPr="00306F9C">
        <w:t xml:space="preserve"> from the 2013 EU SILC data, since </w:t>
      </w:r>
      <w:r w:rsidR="004F2F9A" w:rsidRPr="00306F9C">
        <w:t xml:space="preserve">other </w:t>
      </w:r>
      <w:r w:rsidR="00B4330E" w:rsidRPr="00306F9C">
        <w:t>national data/ research on disability is generally lacking</w:t>
      </w:r>
      <w:r w:rsidR="00C13A72" w:rsidRPr="00306F9C">
        <w:t xml:space="preserve">, and policy responses in the </w:t>
      </w:r>
      <w:r w:rsidR="002539AE" w:rsidRPr="00306F9C">
        <w:t>framework</w:t>
      </w:r>
      <w:r w:rsidR="00C13A72" w:rsidRPr="00306F9C">
        <w:t xml:space="preserve"> of the European Semester Process</w:t>
      </w:r>
      <w:r w:rsidR="00B4330E" w:rsidRPr="00306F9C">
        <w:t>.</w:t>
      </w:r>
      <w:r w:rsidR="0099724E" w:rsidRPr="00306F9C">
        <w:t xml:space="preserve"> </w:t>
      </w:r>
    </w:p>
    <w:p w:rsidR="00D61EB8" w:rsidRPr="00306F9C" w:rsidRDefault="00D61EB8" w:rsidP="00123DE3"/>
    <w:p w:rsidR="007A7CB6" w:rsidRPr="00306F9C" w:rsidRDefault="002539AE" w:rsidP="00123DE3">
      <w:r w:rsidRPr="00306F9C">
        <w:t xml:space="preserve">The context of the economic crisis is </w:t>
      </w:r>
      <w:r w:rsidR="000C4AE6" w:rsidRPr="00306F9C">
        <w:t>key</w:t>
      </w:r>
      <w:r w:rsidRPr="00306F9C">
        <w:t xml:space="preserve"> </w:t>
      </w:r>
      <w:r w:rsidR="00EC5B20" w:rsidRPr="00306F9C">
        <w:t xml:space="preserve">to understanding </w:t>
      </w:r>
      <w:r w:rsidR="00202835" w:rsidRPr="00306F9C">
        <w:t xml:space="preserve">the </w:t>
      </w:r>
      <w:r w:rsidR="00FB4230" w:rsidRPr="00306F9C">
        <w:t xml:space="preserve">main </w:t>
      </w:r>
      <w:r w:rsidR="007113C6" w:rsidRPr="00306F9C">
        <w:t>challenges</w:t>
      </w:r>
      <w:r w:rsidR="00FB4230" w:rsidRPr="00306F9C">
        <w:t>,</w:t>
      </w:r>
      <w:r w:rsidR="00202835" w:rsidRPr="00306F9C">
        <w:t xml:space="preserve"> </w:t>
      </w:r>
      <w:r w:rsidR="0091060C" w:rsidRPr="00306F9C">
        <w:t>which</w:t>
      </w:r>
      <w:r w:rsidR="00FC7AB6" w:rsidRPr="00306F9C">
        <w:t xml:space="preserve"> also </w:t>
      </w:r>
      <w:r w:rsidR="000C4AE6" w:rsidRPr="00306F9C">
        <w:t>frames the capacity</w:t>
      </w:r>
      <w:r w:rsidR="007939D7" w:rsidRPr="00306F9C">
        <w:t xml:space="preserve"> </w:t>
      </w:r>
      <w:r w:rsidR="000C4AE6" w:rsidRPr="00306F9C">
        <w:t>of</w:t>
      </w:r>
      <w:r w:rsidR="00D2550B" w:rsidRPr="00306F9C">
        <w:t xml:space="preserve"> </w:t>
      </w:r>
      <w:r w:rsidR="00CB0691" w:rsidRPr="00306F9C">
        <w:t xml:space="preserve">national policy making </w:t>
      </w:r>
      <w:r w:rsidR="007939D7" w:rsidRPr="00306F9C">
        <w:t>to tackle them.</w:t>
      </w:r>
      <w:r w:rsidR="00C06F6F" w:rsidRPr="00306F9C">
        <w:t xml:space="preserve"> </w:t>
      </w:r>
      <w:r w:rsidR="0091060C" w:rsidRPr="00306F9C">
        <w:t>F</w:t>
      </w:r>
      <w:r w:rsidR="00CB0691" w:rsidRPr="00306F9C">
        <w:t xml:space="preserve">iscal </w:t>
      </w:r>
      <w:r w:rsidR="007E3C8F" w:rsidRPr="00306F9C">
        <w:t>c</w:t>
      </w:r>
      <w:r w:rsidR="00C95FC7" w:rsidRPr="00306F9C">
        <w:t>onstraints mean</w:t>
      </w:r>
      <w:r w:rsidR="0099724E" w:rsidRPr="00306F9C">
        <w:t xml:space="preserve"> that disability related programs and actions are</w:t>
      </w:r>
      <w:r w:rsidR="00D2550B" w:rsidRPr="00306F9C">
        <w:t xml:space="preserve"> almost exclusively</w:t>
      </w:r>
      <w:r w:rsidR="0099724E" w:rsidRPr="00306F9C">
        <w:t xml:space="preserve"> employed within the ESIF 2014-2020 framework</w:t>
      </w:r>
      <w:r w:rsidR="00D2550B" w:rsidRPr="00306F9C">
        <w:t xml:space="preserve">, which </w:t>
      </w:r>
      <w:r w:rsidR="0099724E" w:rsidRPr="00306F9C">
        <w:t xml:space="preserve">is due to start in November 2015. </w:t>
      </w:r>
      <w:r w:rsidR="00A647D7" w:rsidRPr="00306F9C">
        <w:t xml:space="preserve">Additionally, there are </w:t>
      </w:r>
      <w:r w:rsidR="008C75AE" w:rsidRPr="00306F9C">
        <w:rPr>
          <w:rFonts w:eastAsiaTheme="majorEastAsia"/>
          <w:bCs/>
        </w:rPr>
        <w:t>binding</w:t>
      </w:r>
      <w:r w:rsidR="00A647D7" w:rsidRPr="00306F9C">
        <w:rPr>
          <w:rFonts w:eastAsiaTheme="majorEastAsia"/>
          <w:bCs/>
        </w:rPr>
        <w:t xml:space="preserve"> requirements for extensive reforms across employment, education and social welfare according to the M</w:t>
      </w:r>
      <w:r w:rsidR="008C75AE" w:rsidRPr="00306F9C">
        <w:rPr>
          <w:rFonts w:eastAsiaTheme="majorEastAsia"/>
          <w:bCs/>
        </w:rPr>
        <w:t xml:space="preserve">emorandum of Understanding </w:t>
      </w:r>
      <w:r w:rsidR="00A647D7" w:rsidRPr="00306F9C">
        <w:t>(August 2015)</w:t>
      </w:r>
      <w:r w:rsidR="007A7CB6" w:rsidRPr="00306F9C">
        <w:t>,</w:t>
      </w:r>
      <w:r w:rsidR="008C75AE" w:rsidRPr="00306F9C">
        <w:t xml:space="preserve"> which </w:t>
      </w:r>
      <w:r w:rsidR="007A7CB6" w:rsidRPr="00306F9C">
        <w:t>are prioritised</w:t>
      </w:r>
      <w:r w:rsidR="008C75AE" w:rsidRPr="00306F9C">
        <w:t xml:space="preserve"> </w:t>
      </w:r>
      <w:r w:rsidR="009C08BF" w:rsidRPr="00306F9C">
        <w:t xml:space="preserve">and will take place </w:t>
      </w:r>
      <w:r w:rsidR="00AD4241" w:rsidRPr="00306F9C">
        <w:t>in the forthcoming period.</w:t>
      </w:r>
    </w:p>
    <w:p w:rsidR="007A7CB6" w:rsidRPr="00306F9C" w:rsidRDefault="007A7CB6" w:rsidP="00123DE3"/>
    <w:p w:rsidR="00A647D7" w:rsidRPr="00306F9C" w:rsidRDefault="00CB0691" w:rsidP="00123DE3">
      <w:r w:rsidRPr="00306F9C">
        <w:t xml:space="preserve">The assessment </w:t>
      </w:r>
      <w:r w:rsidR="00D2550B" w:rsidRPr="00306F9C">
        <w:t>of policie</w:t>
      </w:r>
      <w:r w:rsidR="008C75AE" w:rsidRPr="00306F9C">
        <w:t xml:space="preserve">s </w:t>
      </w:r>
      <w:r w:rsidRPr="00306F9C">
        <w:t xml:space="preserve">in the current report </w:t>
      </w:r>
      <w:r w:rsidR="008C75AE" w:rsidRPr="00306F9C">
        <w:t>is therefore more limited to</w:t>
      </w:r>
      <w:r w:rsidR="00D2550B" w:rsidRPr="00306F9C">
        <w:t xml:space="preserve"> a </w:t>
      </w:r>
      <w:r w:rsidRPr="00306F9C">
        <w:t>strategic planning</w:t>
      </w:r>
      <w:r w:rsidR="00D2550B" w:rsidRPr="00306F9C">
        <w:t xml:space="preserve"> level</w:t>
      </w:r>
      <w:r w:rsidR="00AA3F1C" w:rsidRPr="00306F9C">
        <w:t>, r</w:t>
      </w:r>
      <w:r w:rsidRPr="00306F9C">
        <w:t>ather than outcomes</w:t>
      </w:r>
      <w:r w:rsidR="00D61EB8" w:rsidRPr="00306F9C">
        <w:t>, although the efficacy of previous policy programs is also briefly discussed</w:t>
      </w:r>
      <w:r w:rsidR="00D61EB8" w:rsidRPr="00306F9C">
        <w:rPr>
          <w:rStyle w:val="FootnoteReference"/>
        </w:rPr>
        <w:footnoteReference w:id="1"/>
      </w:r>
      <w:r w:rsidR="00D61EB8" w:rsidRPr="00306F9C">
        <w:t xml:space="preserve">. </w:t>
      </w:r>
      <w:r w:rsidR="00A647D7" w:rsidRPr="00306F9C">
        <w:t xml:space="preserve">Similarly, the recommendations outlined at the end concern mostly the mainstreaming of disability issues in the </w:t>
      </w:r>
      <w:r w:rsidR="00295037" w:rsidRPr="00306F9C">
        <w:t>expected</w:t>
      </w:r>
      <w:r w:rsidR="00DF172F" w:rsidRPr="00306F9C">
        <w:t xml:space="preserve"> </w:t>
      </w:r>
      <w:r w:rsidR="00A647D7" w:rsidRPr="00306F9C">
        <w:t xml:space="preserve">consultation, implementation and monitoring processes </w:t>
      </w:r>
      <w:r w:rsidR="00295037" w:rsidRPr="00306F9C">
        <w:t>foreseen in the</w:t>
      </w:r>
      <w:r w:rsidR="008C75AE" w:rsidRPr="00306F9C">
        <w:t xml:space="preserve"> </w:t>
      </w:r>
      <w:r w:rsidR="00295037" w:rsidRPr="00306F9C">
        <w:t>NRP (2015)</w:t>
      </w:r>
      <w:r w:rsidR="008C75AE" w:rsidRPr="00306F9C">
        <w:t xml:space="preserve"> and the </w:t>
      </w:r>
      <w:r w:rsidR="006643FD" w:rsidRPr="00306F9C">
        <w:rPr>
          <w:lang w:eastAsia="en-GB"/>
        </w:rPr>
        <w:t xml:space="preserve">Partners’ Agreement for the Programming Period 2014-2020. </w:t>
      </w:r>
    </w:p>
    <w:p w:rsidR="00A647D7" w:rsidRPr="00306F9C" w:rsidRDefault="00A647D7" w:rsidP="00123DE3"/>
    <w:p w:rsidR="00A27061" w:rsidRPr="00306F9C" w:rsidRDefault="00215524" w:rsidP="00123DE3">
      <w:r w:rsidRPr="00306F9C">
        <w:t>In brief, a</w:t>
      </w:r>
      <w:r w:rsidR="004F2F9A" w:rsidRPr="00306F9C">
        <w:t xml:space="preserve"> critical </w:t>
      </w:r>
      <w:r w:rsidR="00EA1C18" w:rsidRPr="00306F9C">
        <w:t>finding in the 2013 EU SILC data concerns</w:t>
      </w:r>
      <w:r w:rsidR="004F2F9A" w:rsidRPr="00306F9C">
        <w:t xml:space="preserve"> </w:t>
      </w:r>
      <w:r w:rsidR="00EA1C18" w:rsidRPr="00306F9C">
        <w:t>markedly high</w:t>
      </w:r>
      <w:r w:rsidR="00E515E3" w:rsidRPr="00306F9C">
        <w:t xml:space="preserve"> unemployment rates </w:t>
      </w:r>
      <w:r w:rsidR="001453DB" w:rsidRPr="00306F9C">
        <w:t xml:space="preserve">especially </w:t>
      </w:r>
      <w:r w:rsidR="00E515E3" w:rsidRPr="00306F9C">
        <w:t>for y</w:t>
      </w:r>
      <w:r w:rsidR="009C7544" w:rsidRPr="00306F9C">
        <w:t>ounger age groups (16 up to 34)</w:t>
      </w:r>
      <w:r w:rsidR="001453DB" w:rsidRPr="00306F9C">
        <w:t>, who are</w:t>
      </w:r>
      <w:r w:rsidR="00C95FC7" w:rsidRPr="00306F9C">
        <w:t xml:space="preserve"> also</w:t>
      </w:r>
      <w:r w:rsidR="001453DB" w:rsidRPr="00306F9C">
        <w:t xml:space="preserve"> at a considerably increased risk of poverty in comparison with people with disabilities aged over 65. At the same time, </w:t>
      </w:r>
      <w:r w:rsidR="009C7544" w:rsidRPr="00306F9C">
        <w:t xml:space="preserve">unemployment </w:t>
      </w:r>
      <w:r w:rsidR="001453DB" w:rsidRPr="00306F9C">
        <w:t xml:space="preserve">seems to </w:t>
      </w:r>
      <w:r w:rsidR="00B454FB" w:rsidRPr="00306F9C">
        <w:t>lead</w:t>
      </w:r>
      <w:r w:rsidR="009C7544" w:rsidRPr="00306F9C">
        <w:t xml:space="preserve"> to increased</w:t>
      </w:r>
      <w:r w:rsidR="00E515E3" w:rsidRPr="00306F9C">
        <w:t xml:space="preserve"> risk of poverty</w:t>
      </w:r>
      <w:r w:rsidR="009C7544" w:rsidRPr="00306F9C">
        <w:t xml:space="preserve"> for disabled people</w:t>
      </w:r>
      <w:r w:rsidR="001453DB" w:rsidRPr="00306F9C">
        <w:t>,</w:t>
      </w:r>
      <w:r w:rsidR="00B454FB" w:rsidRPr="00306F9C">
        <w:t xml:space="preserve"> at double </w:t>
      </w:r>
      <w:r w:rsidR="001453DB" w:rsidRPr="00306F9C">
        <w:t xml:space="preserve">the </w:t>
      </w:r>
      <w:r w:rsidR="00B454FB" w:rsidRPr="00306F9C">
        <w:t>rate in comparison with</w:t>
      </w:r>
      <w:r w:rsidR="009C7544" w:rsidRPr="00306F9C">
        <w:t xml:space="preserve"> non-disabled people. </w:t>
      </w:r>
      <w:r w:rsidR="001453DB" w:rsidRPr="00306F9C">
        <w:rPr>
          <w:rFonts w:eastAsiaTheme="majorEastAsia"/>
          <w:bCs/>
        </w:rPr>
        <w:t>The e</w:t>
      </w:r>
      <w:r w:rsidR="00E515E3" w:rsidRPr="00306F9C">
        <w:rPr>
          <w:rFonts w:eastAsiaTheme="majorEastAsia"/>
          <w:bCs/>
        </w:rPr>
        <w:t>mployment prospects</w:t>
      </w:r>
      <w:r w:rsidR="001453DB" w:rsidRPr="00306F9C">
        <w:rPr>
          <w:rFonts w:eastAsiaTheme="majorEastAsia"/>
          <w:bCs/>
        </w:rPr>
        <w:t xml:space="preserve"> of young people with disabilities</w:t>
      </w:r>
      <w:r w:rsidR="00E515E3" w:rsidRPr="00306F9C">
        <w:rPr>
          <w:rFonts w:eastAsiaTheme="majorEastAsia"/>
          <w:bCs/>
        </w:rPr>
        <w:t xml:space="preserve"> ar</w:t>
      </w:r>
      <w:r w:rsidR="001453DB" w:rsidRPr="00306F9C">
        <w:rPr>
          <w:rFonts w:eastAsiaTheme="majorEastAsia"/>
          <w:bCs/>
        </w:rPr>
        <w:t>e further compromised by</w:t>
      </w:r>
      <w:r w:rsidR="00E515E3" w:rsidRPr="00306F9C">
        <w:rPr>
          <w:rFonts w:eastAsiaTheme="majorEastAsia"/>
          <w:bCs/>
        </w:rPr>
        <w:t xml:space="preserve"> low</w:t>
      </w:r>
      <w:r w:rsidR="001453DB" w:rsidRPr="00306F9C">
        <w:rPr>
          <w:rFonts w:eastAsiaTheme="majorEastAsia"/>
          <w:bCs/>
        </w:rPr>
        <w:t xml:space="preserve"> education levels and work skills, as data shows p</w:t>
      </w:r>
      <w:r w:rsidR="00E515E3" w:rsidRPr="00306F9C">
        <w:t>articularly low levels of graduation from primary and secondary educatio</w:t>
      </w:r>
      <w:r w:rsidR="001453DB" w:rsidRPr="00306F9C">
        <w:t>n and l</w:t>
      </w:r>
      <w:r w:rsidR="00E515E3" w:rsidRPr="00306F9C">
        <w:t>ow levels of completion of tertiary education</w:t>
      </w:r>
      <w:r w:rsidR="00DA5D9C" w:rsidRPr="00306F9C">
        <w:t xml:space="preserve"> for disabled people.</w:t>
      </w:r>
    </w:p>
    <w:p w:rsidR="00C95FC7" w:rsidRPr="00306F9C" w:rsidRDefault="00C95FC7" w:rsidP="00123DE3"/>
    <w:p w:rsidR="007A7CB6" w:rsidRPr="00306F9C" w:rsidRDefault="00C95FC7" w:rsidP="00123DE3">
      <w:r w:rsidRPr="00306F9C">
        <w:t xml:space="preserve">It is very welcome that </w:t>
      </w:r>
      <w:r w:rsidR="00153FFB" w:rsidRPr="00306F9C">
        <w:t xml:space="preserve">issues of disability inequality are mainstreamed across the fields of employment, education and poverty (NRP 2015; Partnership Agreement) whilst </w:t>
      </w:r>
      <w:r w:rsidRPr="00306F9C">
        <w:t>the new National Strategic Framework for Social Inclusion 2015-2020</w:t>
      </w:r>
      <w:r w:rsidR="00153FFB" w:rsidRPr="00306F9C">
        <w:t xml:space="preserve"> additionally refers to measures for improving access to quality health and social care services.</w:t>
      </w:r>
      <w:r w:rsidR="00B271E8" w:rsidRPr="00306F9C">
        <w:t xml:space="preserve"> </w:t>
      </w:r>
      <w:r w:rsidR="008737F5" w:rsidRPr="00306F9C">
        <w:t>Nevertheless, successful implementation will require overcoming deep rooted problems across the fields</w:t>
      </w:r>
      <w:r w:rsidR="002D0891" w:rsidRPr="00306F9C">
        <w:t>.</w:t>
      </w:r>
      <w:r w:rsidR="00B03008" w:rsidRPr="00306F9C">
        <w:t xml:space="preserve"> </w:t>
      </w:r>
    </w:p>
    <w:p w:rsidR="00920C12" w:rsidRPr="00306F9C" w:rsidRDefault="00920C12" w:rsidP="00123DE3"/>
    <w:p w:rsidR="009C08BF" w:rsidRPr="00306F9C" w:rsidRDefault="00215524" w:rsidP="00123DE3">
      <w:r w:rsidRPr="00306F9C">
        <w:t xml:space="preserve">Active labour </w:t>
      </w:r>
      <w:r w:rsidR="0091060C" w:rsidRPr="00306F9C">
        <w:t xml:space="preserve">market </w:t>
      </w:r>
      <w:r w:rsidRPr="00306F9C">
        <w:t xml:space="preserve">policies, social entrepreneurship schemes and vocational training programs form core actions for tackling </w:t>
      </w:r>
      <w:r w:rsidR="00192A33" w:rsidRPr="00306F9C">
        <w:t xml:space="preserve">both </w:t>
      </w:r>
      <w:r w:rsidRPr="00306F9C">
        <w:t xml:space="preserve">unemployment and risk of poverty/social </w:t>
      </w:r>
      <w:r w:rsidR="00192A33" w:rsidRPr="00306F9C">
        <w:t>ex</w:t>
      </w:r>
      <w:r w:rsidRPr="00306F9C">
        <w:t>clusion of disabled people n</w:t>
      </w:r>
      <w:r w:rsidR="00B271E8" w:rsidRPr="00306F9C">
        <w:t>evertheless,</w:t>
      </w:r>
      <w:r w:rsidRPr="00306F9C">
        <w:t xml:space="preserve"> plans are still lacking detail </w:t>
      </w:r>
      <w:r w:rsidR="00471FC8" w:rsidRPr="00306F9C">
        <w:t>with respect to targets and</w:t>
      </w:r>
      <w:r w:rsidRPr="00306F9C">
        <w:t xml:space="preserve"> </w:t>
      </w:r>
      <w:r w:rsidR="00471FC8" w:rsidRPr="00306F9C">
        <w:t xml:space="preserve">ways of ensuring </w:t>
      </w:r>
      <w:r w:rsidRPr="00306F9C">
        <w:t>increased participation in such programs.</w:t>
      </w:r>
      <w:r w:rsidR="007A7CB6" w:rsidRPr="00306F9C">
        <w:t xml:space="preserve"> </w:t>
      </w:r>
      <w:r w:rsidR="00192A33" w:rsidRPr="00306F9C">
        <w:t xml:space="preserve">The effectiveness of the social protection system is also questioned with </w:t>
      </w:r>
      <w:r w:rsidR="00192A33" w:rsidRPr="00306F9C">
        <w:lastRenderedPageBreak/>
        <w:t>implications for the social welfare review that is due (</w:t>
      </w:r>
      <w:proofErr w:type="spellStart"/>
      <w:r w:rsidR="00192A33" w:rsidRPr="00306F9C">
        <w:t>MoU</w:t>
      </w:r>
      <w:proofErr w:type="spellEnd"/>
      <w:r w:rsidR="00192A33" w:rsidRPr="00306F9C">
        <w:t xml:space="preserve"> 2015; NRP 2015)</w:t>
      </w:r>
      <w:r w:rsidR="00BA4702" w:rsidRPr="00306F9C">
        <w:t xml:space="preserve">, whilst the urgency of de-institutionalisation measures is put forward in the light of </w:t>
      </w:r>
      <w:r w:rsidR="00D0636C" w:rsidRPr="00306F9C">
        <w:t xml:space="preserve">recent </w:t>
      </w:r>
      <w:r w:rsidR="00BA4702" w:rsidRPr="00306F9C">
        <w:t xml:space="preserve">mobilisation and </w:t>
      </w:r>
      <w:r w:rsidR="00D0636C" w:rsidRPr="00306F9C">
        <w:t xml:space="preserve">renewed </w:t>
      </w:r>
      <w:r w:rsidR="00BA4702" w:rsidRPr="00306F9C">
        <w:t>UN recommendations</w:t>
      </w:r>
      <w:r w:rsidR="00D0636C" w:rsidRPr="00306F9C">
        <w:t xml:space="preserve"> to Greece </w:t>
      </w:r>
      <w:r w:rsidR="002D0891" w:rsidRPr="00306F9C">
        <w:t>with regards to malpractice and violation of rights in institutionalised care</w:t>
      </w:r>
      <w:r w:rsidR="00D0636C" w:rsidRPr="00306F9C">
        <w:t xml:space="preserve"> </w:t>
      </w:r>
      <w:r w:rsidR="00BA4702" w:rsidRPr="00306F9C">
        <w:t>(November 2015).</w:t>
      </w:r>
      <w:r w:rsidR="00192A33" w:rsidRPr="00306F9C">
        <w:t xml:space="preserve">  </w:t>
      </w:r>
    </w:p>
    <w:p w:rsidR="009C08BF" w:rsidRPr="00306F9C" w:rsidRDefault="009C08BF" w:rsidP="00123DE3"/>
    <w:p w:rsidR="00C95FC7" w:rsidRPr="00306F9C" w:rsidRDefault="00192A33" w:rsidP="00123DE3">
      <w:r w:rsidRPr="00306F9C">
        <w:t>Finally, i</w:t>
      </w:r>
      <w:r w:rsidR="007A7CB6" w:rsidRPr="00306F9C">
        <w:t>n the field of education</w:t>
      </w:r>
      <w:r w:rsidR="009C08BF" w:rsidRPr="00306F9C">
        <w:t xml:space="preserve">, the NRP (2015) pays due attention to ensuring equal access </w:t>
      </w:r>
      <w:r w:rsidR="0054560C" w:rsidRPr="00306F9C">
        <w:t xml:space="preserve">through disability specific measures, such as a renewed legislative framework and availability of accessible material and aids, whilst there should be further opportunities for evaluating and improving current practices in </w:t>
      </w:r>
      <w:r w:rsidR="00356394" w:rsidRPr="00306F9C">
        <w:t>view</w:t>
      </w:r>
      <w:r w:rsidR="0054560C" w:rsidRPr="00306F9C">
        <w:t xml:space="preserve"> of the forthcoming comprehensive reviews of the education system. </w:t>
      </w:r>
      <w:r w:rsidR="00D466F4" w:rsidRPr="00306F9C">
        <w:t>Nevertheless, education</w:t>
      </w:r>
      <w:r w:rsidR="006D61F5" w:rsidRPr="00306F9C">
        <w:t>al policy and programming</w:t>
      </w:r>
      <w:r w:rsidR="00D466F4" w:rsidRPr="00306F9C">
        <w:t xml:space="preserve"> has been </w:t>
      </w:r>
      <w:r w:rsidR="006D61F5" w:rsidRPr="00306F9C">
        <w:t xml:space="preserve">characterised by slow </w:t>
      </w:r>
      <w:r w:rsidR="00D466F4" w:rsidRPr="00306F9C">
        <w:t>progres</w:t>
      </w:r>
      <w:r w:rsidR="006D61F5" w:rsidRPr="00306F9C">
        <w:t xml:space="preserve">s </w:t>
      </w:r>
      <w:r w:rsidR="00D466F4" w:rsidRPr="00306F9C">
        <w:t>with fundamental problems persisting year after year</w:t>
      </w:r>
      <w:r w:rsidR="006D61F5" w:rsidRPr="00306F9C">
        <w:t xml:space="preserve"> for pupils with disabilities</w:t>
      </w:r>
      <w:r w:rsidR="00D466F4" w:rsidRPr="00306F9C">
        <w:t>.</w:t>
      </w:r>
      <w:r w:rsidR="00310309" w:rsidRPr="00306F9C">
        <w:t xml:space="preserve"> Similarly, the issue of low levels of completion of tertiary education by disabled students is little addressed in the NRP (2015), the NSFSI 2015-2020 or planned actions under the ESIF 2014-2020 </w:t>
      </w:r>
      <w:r w:rsidR="00922F76" w:rsidRPr="00306F9C">
        <w:t xml:space="preserve">programming </w:t>
      </w:r>
      <w:r w:rsidR="00310309" w:rsidRPr="00306F9C">
        <w:t xml:space="preserve">period. </w:t>
      </w:r>
    </w:p>
    <w:p w:rsidR="00C06F6F" w:rsidRPr="00306F9C" w:rsidRDefault="00C06F6F" w:rsidP="00123DE3"/>
    <w:p w:rsidR="00C06F6F" w:rsidRPr="00306F9C" w:rsidRDefault="00C06F6F" w:rsidP="00123DE3"/>
    <w:p w:rsidR="00EB54C7" w:rsidRPr="00306F9C" w:rsidRDefault="00EB54C7" w:rsidP="00306F9C">
      <w:pPr>
        <w:rPr>
          <w:rFonts w:eastAsiaTheme="majorEastAsia"/>
          <w:b/>
          <w:bCs/>
        </w:rPr>
      </w:pPr>
      <w:r w:rsidRPr="00306F9C">
        <w:br w:type="page"/>
      </w:r>
    </w:p>
    <w:p w:rsidR="001341CA" w:rsidRPr="00306F9C" w:rsidRDefault="001341CA" w:rsidP="00123DE3">
      <w:pPr>
        <w:pStyle w:val="Heading1"/>
        <w:rPr>
          <w:szCs w:val="24"/>
        </w:rPr>
      </w:pPr>
      <w:bookmarkStart w:id="3" w:name="_Toc429999632"/>
      <w:bookmarkStart w:id="4" w:name="_Toc453842108"/>
      <w:r w:rsidRPr="00306F9C">
        <w:rPr>
          <w:szCs w:val="24"/>
        </w:rPr>
        <w:lastRenderedPageBreak/>
        <w:t xml:space="preserve">Assessment of the situation </w:t>
      </w:r>
      <w:r w:rsidR="000D320A" w:rsidRPr="00306F9C">
        <w:rPr>
          <w:szCs w:val="24"/>
        </w:rPr>
        <w:t xml:space="preserve">of disabled people </w:t>
      </w:r>
      <w:r w:rsidRPr="00306F9C">
        <w:rPr>
          <w:szCs w:val="24"/>
        </w:rPr>
        <w:t>with respect to the Europe 2020 headline targets</w:t>
      </w:r>
      <w:bookmarkEnd w:id="3"/>
      <w:bookmarkEnd w:id="4"/>
    </w:p>
    <w:p w:rsidR="00AF323E" w:rsidRPr="00306F9C" w:rsidRDefault="00AF323E" w:rsidP="00123DE3"/>
    <w:p w:rsidR="001341CA" w:rsidRPr="00306F9C" w:rsidRDefault="00EA2651" w:rsidP="00123DE3">
      <w:pPr>
        <w:pStyle w:val="Heading2"/>
        <w:rPr>
          <w:szCs w:val="24"/>
        </w:rPr>
      </w:pPr>
      <w:bookmarkStart w:id="5" w:name="_Toc429999633"/>
      <w:bookmarkStart w:id="6" w:name="_Toc453842109"/>
      <w:r w:rsidRPr="00306F9C">
        <w:rPr>
          <w:szCs w:val="24"/>
        </w:rPr>
        <w:t>Strategic</w:t>
      </w:r>
      <w:r w:rsidR="000D320A" w:rsidRPr="00306F9C">
        <w:rPr>
          <w:szCs w:val="24"/>
        </w:rPr>
        <w:t xml:space="preserve"> targets</w:t>
      </w:r>
      <w:bookmarkEnd w:id="5"/>
      <w:bookmarkEnd w:id="6"/>
    </w:p>
    <w:p w:rsidR="00AF323E" w:rsidRPr="00306F9C" w:rsidRDefault="00AF323E" w:rsidP="00123DE3"/>
    <w:p w:rsidR="00B12ADE" w:rsidRPr="00306F9C" w:rsidRDefault="00B12ADE"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w:t>
      </w:r>
      <w:r w:rsidR="00AF69A0" w:rsidRPr="00306F9C">
        <w:rPr>
          <w:noProof/>
          <w:sz w:val="24"/>
          <w:szCs w:val="24"/>
        </w:rPr>
        <w:fldChar w:fldCharType="end"/>
      </w:r>
      <w:r w:rsidRPr="00306F9C">
        <w:rPr>
          <w:sz w:val="24"/>
          <w:szCs w:val="24"/>
        </w:rPr>
        <w:t xml:space="preserve">: Europe 2020 and </w:t>
      </w:r>
      <w:r w:rsidR="00EA2651" w:rsidRPr="00306F9C">
        <w:rPr>
          <w:sz w:val="24"/>
          <w:szCs w:val="24"/>
        </w:rPr>
        <w:t xml:space="preserve">agreed </w:t>
      </w:r>
      <w:r w:rsidRPr="00306F9C">
        <w:rPr>
          <w:sz w:val="24"/>
          <w:szCs w:val="24"/>
        </w:rPr>
        <w:t>national targets</w:t>
      </w:r>
      <w:r w:rsidR="00DC521C" w:rsidRPr="00306F9C">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19"/>
      </w:tblGrid>
      <w:tr w:rsidR="00B12ADE" w:rsidRPr="00306F9C" w:rsidTr="00B12ADE">
        <w:tc>
          <w:tcPr>
            <w:tcW w:w="1667" w:type="pct"/>
            <w:shd w:val="clear" w:color="auto" w:fill="auto"/>
          </w:tcPr>
          <w:p w:rsidR="00B12ADE" w:rsidRPr="00306F9C" w:rsidRDefault="00B12ADE" w:rsidP="00123DE3"/>
        </w:tc>
        <w:tc>
          <w:tcPr>
            <w:tcW w:w="1667" w:type="pct"/>
            <w:shd w:val="clear" w:color="auto" w:fill="auto"/>
          </w:tcPr>
          <w:p w:rsidR="00B12ADE" w:rsidRPr="00306F9C" w:rsidRDefault="00B12ADE" w:rsidP="00123DE3">
            <w:r w:rsidRPr="00306F9C">
              <w:t>Europe 2020 targets</w:t>
            </w:r>
          </w:p>
        </w:tc>
        <w:tc>
          <w:tcPr>
            <w:tcW w:w="1666" w:type="pct"/>
            <w:shd w:val="clear" w:color="auto" w:fill="auto"/>
          </w:tcPr>
          <w:p w:rsidR="00B12ADE" w:rsidRPr="00306F9C" w:rsidRDefault="00B12ADE" w:rsidP="00123DE3">
            <w:r w:rsidRPr="00306F9C">
              <w:t>National targets</w:t>
            </w:r>
            <w:r w:rsidR="00DC521C" w:rsidRPr="00306F9C">
              <w:rPr>
                <w:rStyle w:val="FootnoteReference"/>
                <w:b/>
                <w:bCs/>
              </w:rPr>
              <w:footnoteReference w:id="2"/>
            </w:r>
          </w:p>
        </w:tc>
      </w:tr>
      <w:tr w:rsidR="00B12ADE" w:rsidRPr="00306F9C" w:rsidTr="00B12ADE">
        <w:tc>
          <w:tcPr>
            <w:tcW w:w="1667" w:type="pct"/>
            <w:shd w:val="clear" w:color="auto" w:fill="auto"/>
          </w:tcPr>
          <w:p w:rsidR="00B12ADE" w:rsidRPr="00306F9C" w:rsidRDefault="00B12ADE" w:rsidP="00123DE3">
            <w:r w:rsidRPr="00306F9C">
              <w:t>Employment</w:t>
            </w:r>
          </w:p>
        </w:tc>
        <w:tc>
          <w:tcPr>
            <w:tcW w:w="1667" w:type="pct"/>
            <w:shd w:val="clear" w:color="auto" w:fill="auto"/>
          </w:tcPr>
          <w:p w:rsidR="00B12ADE" w:rsidRPr="00306F9C" w:rsidRDefault="00B12ADE" w:rsidP="00123DE3">
            <w:r w:rsidRPr="00306F9C">
              <w:t>75% of the 20-64 year-olds to be employed</w:t>
            </w:r>
          </w:p>
        </w:tc>
        <w:tc>
          <w:tcPr>
            <w:tcW w:w="1666" w:type="pct"/>
            <w:shd w:val="clear" w:color="auto" w:fill="auto"/>
          </w:tcPr>
          <w:p w:rsidR="00B12ADE" w:rsidRPr="00306F9C" w:rsidRDefault="004C7C48" w:rsidP="00123DE3">
            <w:r w:rsidRPr="00306F9C">
              <w:t>70%</w:t>
            </w:r>
          </w:p>
        </w:tc>
      </w:tr>
      <w:tr w:rsidR="00B12ADE" w:rsidRPr="00306F9C" w:rsidTr="00B12ADE">
        <w:tc>
          <w:tcPr>
            <w:tcW w:w="1667" w:type="pct"/>
            <w:vMerge w:val="restart"/>
            <w:shd w:val="clear" w:color="auto" w:fill="auto"/>
          </w:tcPr>
          <w:p w:rsidR="00B12ADE" w:rsidRPr="00306F9C" w:rsidRDefault="00B12ADE" w:rsidP="00123DE3">
            <w:r w:rsidRPr="00306F9C">
              <w:t>Education</w:t>
            </w:r>
          </w:p>
        </w:tc>
        <w:tc>
          <w:tcPr>
            <w:tcW w:w="1667" w:type="pct"/>
            <w:shd w:val="clear" w:color="auto" w:fill="auto"/>
          </w:tcPr>
          <w:p w:rsidR="00B12ADE" w:rsidRPr="00306F9C" w:rsidRDefault="00B12ADE" w:rsidP="00123DE3">
            <w:r w:rsidRPr="00306F9C">
              <w:t>Reducing the rates of early school leaving below 10%</w:t>
            </w:r>
          </w:p>
        </w:tc>
        <w:tc>
          <w:tcPr>
            <w:tcW w:w="1666" w:type="pct"/>
            <w:shd w:val="clear" w:color="auto" w:fill="auto"/>
          </w:tcPr>
          <w:p w:rsidR="00B12ADE" w:rsidRPr="00306F9C" w:rsidRDefault="004C7C48" w:rsidP="00123DE3">
            <w:r w:rsidRPr="00306F9C">
              <w:t>9.7%</w:t>
            </w:r>
          </w:p>
        </w:tc>
      </w:tr>
      <w:tr w:rsidR="00B12ADE" w:rsidRPr="00306F9C" w:rsidTr="00B12ADE">
        <w:tc>
          <w:tcPr>
            <w:tcW w:w="1667" w:type="pct"/>
            <w:vMerge/>
            <w:shd w:val="clear" w:color="auto" w:fill="auto"/>
          </w:tcPr>
          <w:p w:rsidR="00B12ADE" w:rsidRPr="00306F9C" w:rsidRDefault="00B12ADE" w:rsidP="00123DE3"/>
        </w:tc>
        <w:tc>
          <w:tcPr>
            <w:tcW w:w="1667" w:type="pct"/>
            <w:shd w:val="clear" w:color="auto" w:fill="auto"/>
          </w:tcPr>
          <w:p w:rsidR="00B12ADE" w:rsidRPr="00306F9C" w:rsidRDefault="00B12ADE" w:rsidP="00123DE3">
            <w:r w:rsidRPr="00306F9C">
              <w:t>At least 40% of 30-34–year-olds completing third level education</w:t>
            </w:r>
          </w:p>
        </w:tc>
        <w:tc>
          <w:tcPr>
            <w:tcW w:w="1666" w:type="pct"/>
            <w:shd w:val="clear" w:color="auto" w:fill="auto"/>
          </w:tcPr>
          <w:p w:rsidR="00B12ADE" w:rsidRPr="00306F9C" w:rsidRDefault="004B05F4" w:rsidP="00123DE3">
            <w:r w:rsidRPr="00306F9C">
              <w:t>32%</w:t>
            </w:r>
          </w:p>
        </w:tc>
      </w:tr>
      <w:tr w:rsidR="00B12ADE" w:rsidRPr="00306F9C" w:rsidTr="00B12ADE">
        <w:tc>
          <w:tcPr>
            <w:tcW w:w="1667" w:type="pct"/>
            <w:shd w:val="clear" w:color="auto" w:fill="auto"/>
          </w:tcPr>
          <w:p w:rsidR="00B12ADE" w:rsidRPr="00306F9C" w:rsidRDefault="00B12ADE" w:rsidP="00123DE3">
            <w:r w:rsidRPr="00306F9C">
              <w:t>Fighting poverty and social exclusion</w:t>
            </w:r>
          </w:p>
        </w:tc>
        <w:tc>
          <w:tcPr>
            <w:tcW w:w="1667" w:type="pct"/>
            <w:shd w:val="clear" w:color="auto" w:fill="auto"/>
          </w:tcPr>
          <w:p w:rsidR="00B12ADE" w:rsidRPr="00306F9C" w:rsidRDefault="00B12ADE" w:rsidP="00123DE3">
            <w:r w:rsidRPr="00306F9C">
              <w:t>At least 20 million fewer people in or at risk of poverty and social exclusion</w:t>
            </w:r>
          </w:p>
        </w:tc>
        <w:tc>
          <w:tcPr>
            <w:tcW w:w="1666" w:type="pct"/>
            <w:shd w:val="clear" w:color="auto" w:fill="auto"/>
          </w:tcPr>
          <w:p w:rsidR="00B12ADE" w:rsidRPr="00306F9C" w:rsidRDefault="004B05F4" w:rsidP="00123DE3">
            <w:r w:rsidRPr="00306F9C">
              <w:t>450,000</w:t>
            </w:r>
          </w:p>
        </w:tc>
      </w:tr>
    </w:tbl>
    <w:p w:rsidR="00C7318C" w:rsidRPr="00306F9C" w:rsidRDefault="00C7318C" w:rsidP="00123DE3"/>
    <w:p w:rsidR="000336BD" w:rsidRPr="00306F9C" w:rsidRDefault="00C13B17" w:rsidP="00123DE3">
      <w:pPr>
        <w:pStyle w:val="Un-numberedsubheading"/>
        <w:spacing w:after="0"/>
      </w:pPr>
      <w:r w:rsidRPr="00306F9C">
        <w:t>R</w:t>
      </w:r>
      <w:r w:rsidR="00A01CD2" w:rsidRPr="00306F9C">
        <w:t>elevant</w:t>
      </w:r>
      <w:r w:rsidR="00DC521C" w:rsidRPr="00306F9C">
        <w:t xml:space="preserve"> </w:t>
      </w:r>
      <w:r w:rsidR="000336BD" w:rsidRPr="00306F9C">
        <w:t>disability</w:t>
      </w:r>
      <w:r w:rsidR="004E5CCD" w:rsidRPr="00306F9C">
        <w:t xml:space="preserve"> </w:t>
      </w:r>
      <w:r w:rsidR="000336BD" w:rsidRPr="00306F9C">
        <w:t>ta</w:t>
      </w:r>
      <w:r w:rsidR="000336BD" w:rsidRPr="00306F9C">
        <w:rPr>
          <w:rStyle w:val="Un-numberedsubheadingChar"/>
        </w:rPr>
        <w:t>r</w:t>
      </w:r>
      <w:r w:rsidR="000336BD" w:rsidRPr="00306F9C">
        <w:t>gets</w:t>
      </w:r>
      <w:r w:rsidR="00DC521C" w:rsidRPr="00306F9C">
        <w:t xml:space="preserve"> from national </w:t>
      </w:r>
      <w:r w:rsidR="005E1C80" w:rsidRPr="00306F9C">
        <w:t xml:space="preserve">strategies or </w:t>
      </w:r>
      <w:r w:rsidR="00DC521C" w:rsidRPr="00306F9C">
        <w:t>sources</w:t>
      </w:r>
      <w:r w:rsidR="000336BD" w:rsidRPr="00306F9C">
        <w:t>:</w:t>
      </w:r>
    </w:p>
    <w:p w:rsidR="005E1C80" w:rsidRPr="00306F9C" w:rsidRDefault="0085292D" w:rsidP="00123DE3">
      <w:r w:rsidRPr="00306F9C">
        <w:t>Additional or specified targets relevant to disability are not included in the latest National Reform Program (2015) or the National Strategic Framework for Social Inclusion (2014)</w:t>
      </w:r>
      <w:r w:rsidR="009474DB" w:rsidRPr="00306F9C">
        <w:t>.</w:t>
      </w:r>
      <w:r w:rsidRPr="00306F9C">
        <w:t xml:space="preserve"> </w:t>
      </w:r>
    </w:p>
    <w:p w:rsidR="00306F9C" w:rsidRPr="00306F9C" w:rsidRDefault="00306F9C" w:rsidP="00123DE3"/>
    <w:p w:rsidR="00726700" w:rsidRPr="00306F9C" w:rsidRDefault="00EB6123" w:rsidP="00123DE3">
      <w:bookmarkStart w:id="7" w:name="_Toc429999634"/>
      <w:r w:rsidRPr="00306F9C">
        <w:rPr>
          <w:b/>
          <w:bCs/>
        </w:rPr>
        <w:t>A note on the use of EU data</w:t>
      </w:r>
      <w:bookmarkEnd w:id="7"/>
    </w:p>
    <w:p w:rsidR="00306F9C" w:rsidRPr="00306F9C" w:rsidRDefault="00306F9C" w:rsidP="00123DE3">
      <w:pPr>
        <w:pStyle w:val="BodyText"/>
        <w:spacing w:after="0"/>
      </w:pPr>
    </w:p>
    <w:p w:rsidR="005E4C81" w:rsidRPr="00306F9C" w:rsidRDefault="005E1C80" w:rsidP="00123DE3">
      <w:pPr>
        <w:pStyle w:val="BodyText"/>
        <w:spacing w:after="0"/>
      </w:pPr>
      <w:r w:rsidRPr="00306F9C">
        <w:t xml:space="preserve">Unless specified, the </w:t>
      </w:r>
      <w:r w:rsidR="00092B8F" w:rsidRPr="00306F9C">
        <w:t xml:space="preserve">summary </w:t>
      </w:r>
      <w:r w:rsidRPr="00306F9C">
        <w:t xml:space="preserve">statistics presented in </w:t>
      </w:r>
      <w:r w:rsidR="00092B8F" w:rsidRPr="00306F9C">
        <w:t>this report</w:t>
      </w:r>
      <w:r w:rsidRPr="00306F9C">
        <w:t xml:space="preserve"> are draw</w:t>
      </w:r>
      <w:r w:rsidR="00092B8F" w:rsidRPr="00306F9C">
        <w:t>n</w:t>
      </w:r>
      <w:r w:rsidRPr="00306F9C">
        <w:t xml:space="preserve"> from </w:t>
      </w:r>
      <w:r w:rsidR="00092B8F" w:rsidRPr="00306F9C">
        <w:t>201</w:t>
      </w:r>
      <w:r w:rsidR="00423314" w:rsidRPr="00306F9C">
        <w:t>3</w:t>
      </w:r>
      <w:r w:rsidR="00092B8F" w:rsidRPr="00306F9C">
        <w:t xml:space="preserve"> </w:t>
      </w:r>
      <w:r w:rsidRPr="00306F9C">
        <w:t xml:space="preserve">EU-SILC </w:t>
      </w:r>
      <w:r w:rsidR="00837BCB" w:rsidRPr="00306F9C">
        <w:t xml:space="preserve">micro </w:t>
      </w:r>
      <w:r w:rsidRPr="00306F9C">
        <w:t>data</w:t>
      </w:r>
      <w:r w:rsidR="005C75D8" w:rsidRPr="00306F9C">
        <w:t>.</w:t>
      </w:r>
      <w:r w:rsidR="00092B8F" w:rsidRPr="00306F9C">
        <w:rPr>
          <w:rStyle w:val="FootnoteReference"/>
        </w:rPr>
        <w:footnoteReference w:id="3"/>
      </w:r>
      <w:r w:rsidR="005C75D8" w:rsidRPr="00306F9C">
        <w:t xml:space="preserve"> </w:t>
      </w:r>
      <w:r w:rsidR="00092B8F" w:rsidRPr="00306F9C">
        <w:t xml:space="preserve">The EU-SILC sample includes </w:t>
      </w:r>
      <w:r w:rsidR="00837BCB" w:rsidRPr="00306F9C">
        <w:t>people</w:t>
      </w:r>
      <w:r w:rsidR="00092B8F" w:rsidRPr="00306F9C">
        <w:t xml:space="preserve"> living in private households and does not include </w:t>
      </w:r>
      <w:r w:rsidR="002E420B" w:rsidRPr="00306F9C">
        <w:t>people</w:t>
      </w:r>
      <w:r w:rsidR="00092B8F" w:rsidRPr="00306F9C">
        <w:t xml:space="preserve"> living in institutions. The proxy </w:t>
      </w:r>
      <w:r w:rsidR="00F44CD5" w:rsidRPr="00306F9C">
        <w:t>used to</w:t>
      </w:r>
      <w:r w:rsidR="00092B8F" w:rsidRPr="00306F9C">
        <w:t xml:space="preserve"> identify people with disabilities (impairments) is whether ‘for at least the past 6 months’ the respondent reports that they have been ‘limited because of a health problem in activities people usually do’</w:t>
      </w:r>
      <w:r w:rsidR="005C75D8" w:rsidRPr="00306F9C">
        <w:t>.</w:t>
      </w:r>
      <w:r w:rsidR="005C75D8" w:rsidRPr="00306F9C">
        <w:rPr>
          <w:rStyle w:val="FootnoteReference"/>
        </w:rPr>
        <w:footnoteReference w:id="4"/>
      </w:r>
      <w:r w:rsidR="005C75D8" w:rsidRPr="00306F9C">
        <w:t xml:space="preserve"> </w:t>
      </w:r>
      <w:r w:rsidR="00092B8F" w:rsidRPr="00306F9C">
        <w:t>Response</w:t>
      </w:r>
      <w:r w:rsidR="00597A6F" w:rsidRPr="00306F9C">
        <w:t xml:space="preserve">s </w:t>
      </w:r>
      <w:r w:rsidR="00092B8F" w:rsidRPr="00306F9C">
        <w:t xml:space="preserve">to this question vary between countries and national </w:t>
      </w:r>
      <w:r w:rsidR="002E420B" w:rsidRPr="00306F9C">
        <w:t xml:space="preserve">data </w:t>
      </w:r>
      <w:r w:rsidR="00092B8F" w:rsidRPr="00306F9C">
        <w:t xml:space="preserve">sources </w:t>
      </w:r>
      <w:r w:rsidR="002E420B" w:rsidRPr="00306F9C">
        <w:t>are</w:t>
      </w:r>
      <w:r w:rsidR="005E4C81" w:rsidRPr="00306F9C">
        <w:t xml:space="preserve"> </w:t>
      </w:r>
      <w:r w:rsidR="00F44CD5" w:rsidRPr="00306F9C">
        <w:t>added</w:t>
      </w:r>
      <w:r w:rsidR="005E4C81" w:rsidRPr="00306F9C">
        <w:t xml:space="preserve"> for comparison</w:t>
      </w:r>
      <w:r w:rsidR="002E420B" w:rsidRPr="00306F9C">
        <w:t>,</w:t>
      </w:r>
      <w:r w:rsidR="005E4C81" w:rsidRPr="00306F9C">
        <w:t xml:space="preserve"> where available</w:t>
      </w:r>
      <w:r w:rsidR="00092B8F" w:rsidRPr="00306F9C">
        <w:t>.</w:t>
      </w:r>
    </w:p>
    <w:p w:rsidR="00306F9C" w:rsidRPr="00306F9C" w:rsidRDefault="00306F9C" w:rsidP="00123DE3">
      <w:pPr>
        <w:pStyle w:val="BodyText"/>
        <w:spacing w:after="0"/>
      </w:pPr>
    </w:p>
    <w:p w:rsidR="00306F9C" w:rsidRDefault="00306F9C">
      <w:pPr>
        <w:spacing w:after="200" w:line="276" w:lineRule="auto"/>
        <w:rPr>
          <w:b/>
          <w:bCs/>
        </w:rPr>
      </w:pPr>
      <w:r>
        <w:br w:type="page"/>
      </w:r>
    </w:p>
    <w:p w:rsidR="005E4C81" w:rsidRPr="00306F9C" w:rsidRDefault="005E4C81" w:rsidP="00123DE3">
      <w:pPr>
        <w:pStyle w:val="Caption"/>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2</w:t>
      </w:r>
      <w:r w:rsidR="00AF69A0" w:rsidRPr="00306F9C">
        <w:rPr>
          <w:noProof/>
          <w:sz w:val="24"/>
          <w:szCs w:val="24"/>
        </w:rPr>
        <w:fldChar w:fldCharType="end"/>
      </w:r>
      <w:r w:rsidRPr="00306F9C">
        <w:rPr>
          <w:sz w:val="24"/>
          <w:szCs w:val="24"/>
        </w:rPr>
        <w:t xml:space="preserve">: </w:t>
      </w:r>
      <w:r w:rsidR="00597A6F" w:rsidRPr="00306F9C">
        <w:rPr>
          <w:sz w:val="24"/>
          <w:szCs w:val="24"/>
        </w:rPr>
        <w:t>Self-reported</w:t>
      </w:r>
      <w:r w:rsidRPr="00306F9C">
        <w:rPr>
          <w:sz w:val="24"/>
          <w:szCs w:val="24"/>
        </w:rPr>
        <w:t xml:space="preserve"> </w:t>
      </w:r>
      <w:r w:rsidR="00597A6F" w:rsidRPr="00306F9C">
        <w:rPr>
          <w:sz w:val="24"/>
          <w:szCs w:val="24"/>
        </w:rPr>
        <w:t>‘</w:t>
      </w:r>
      <w:r w:rsidRPr="00306F9C">
        <w:rPr>
          <w:sz w:val="24"/>
          <w:szCs w:val="24"/>
        </w:rPr>
        <w:t>activity limitations</w:t>
      </w:r>
      <w:r w:rsidR="00597A6F" w:rsidRPr="00306F9C">
        <w:rPr>
          <w:sz w:val="24"/>
          <w:szCs w:val="24"/>
        </w:rPr>
        <w:t>’</w:t>
      </w:r>
      <w:r w:rsidRPr="00306F9C">
        <w:rPr>
          <w:sz w:val="24"/>
          <w:szCs w:val="24"/>
        </w:rPr>
        <w:t xml:space="preserve"> </w:t>
      </w:r>
      <w:r w:rsidR="00597A6F" w:rsidRPr="00306F9C">
        <w:rPr>
          <w:sz w:val="24"/>
          <w:szCs w:val="24"/>
        </w:rPr>
        <w:t xml:space="preserve">as a proxy for impairment/disability </w:t>
      </w:r>
      <w:r w:rsidRPr="00306F9C">
        <w:rPr>
          <w:sz w:val="24"/>
          <w:szCs w:val="24"/>
        </w:rPr>
        <w:t>(EU-SILC 201</w:t>
      </w:r>
      <w:r w:rsidR="00423314" w:rsidRPr="00306F9C">
        <w:rPr>
          <w:sz w:val="24"/>
          <w:szCs w:val="24"/>
        </w:rPr>
        <w:t>3</w:t>
      </w:r>
      <w:r w:rsidRPr="00306F9C">
        <w:rPr>
          <w:sz w:val="24"/>
          <w:szCs w:val="24"/>
        </w:rPr>
        <w:t>)</w:t>
      </w:r>
    </w:p>
    <w:p w:rsidR="005E4C81" w:rsidRPr="00306F9C" w:rsidRDefault="005E4C81" w:rsidP="00123DE3">
      <w:r w:rsidRPr="00306F9C">
        <w:rPr>
          <w:noProof/>
          <w:lang w:eastAsia="en-GB"/>
        </w:rPr>
        <w:drawing>
          <wp:inline distT="0" distB="0" distL="0" distR="0" wp14:anchorId="4DF5B624" wp14:editId="66595712">
            <wp:extent cx="5583044" cy="422259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4C81" w:rsidRPr="00306F9C" w:rsidRDefault="00503F97"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497983" w:rsidRPr="00306F9C" w:rsidRDefault="00497983" w:rsidP="00123DE3">
      <w:pPr>
        <w:pStyle w:val="Sourcereference"/>
        <w:spacing w:after="0"/>
        <w:rPr>
          <w:sz w:val="24"/>
          <w:lang w:eastAsia="en-GB"/>
        </w:rPr>
      </w:pPr>
      <w:r w:rsidRPr="00306F9C">
        <w:rPr>
          <w:sz w:val="24"/>
          <w:lang w:eastAsia="en-GB"/>
        </w:rPr>
        <w:t>It is relevant to observe that Greek estimates of impairment prevalence fall below the EU average for adults of working age, but above for older people, which may affect estimations of equality gaps.</w:t>
      </w:r>
    </w:p>
    <w:p w:rsidR="00306F9C" w:rsidRDefault="00306F9C" w:rsidP="00123DE3">
      <w:pPr>
        <w:pStyle w:val="BodyText"/>
        <w:spacing w:after="0"/>
      </w:pPr>
    </w:p>
    <w:p w:rsidR="00AF323E" w:rsidRDefault="00F44CD5" w:rsidP="00123DE3">
      <w:pPr>
        <w:pStyle w:val="BodyText"/>
        <w:spacing w:after="0"/>
      </w:pPr>
      <w:r w:rsidRPr="00306F9C">
        <w:t xml:space="preserve">In subsequent tables, these data are used </w:t>
      </w:r>
      <w:r w:rsidR="00FE6E4F" w:rsidRPr="00306F9C">
        <w:t xml:space="preserve">as a proxy </w:t>
      </w:r>
      <w:r w:rsidRPr="00306F9C">
        <w:t xml:space="preserve">to estimate </w:t>
      </w:r>
      <w:r w:rsidR="00FE6E4F" w:rsidRPr="00306F9C">
        <w:t>‘disability’ equality</w:t>
      </w:r>
      <w:r w:rsidRPr="00306F9C">
        <w:t xml:space="preserve"> in the main target areas for EU2020 – employment, education and poverty risk.</w:t>
      </w:r>
      <w:r w:rsidRPr="00306F9C">
        <w:rPr>
          <w:rStyle w:val="FootnoteReference"/>
        </w:rPr>
        <w:footnoteReference w:id="5"/>
      </w:r>
      <w:r w:rsidR="00FE6E4F" w:rsidRPr="00306F9C">
        <w:t xml:space="preserve"> </w:t>
      </w:r>
      <w:r w:rsidR="007D6F19" w:rsidRPr="00306F9C">
        <w:t>The tables are presented by disaggregating the estimated proportion of people who report and do not report limitations for each indicator (e.g. among those who are employed, unemployed, at risk of poverty, etc.).</w:t>
      </w:r>
    </w:p>
    <w:p w:rsidR="00306F9C" w:rsidRPr="00306F9C" w:rsidRDefault="00306F9C" w:rsidP="00123DE3">
      <w:pPr>
        <w:pStyle w:val="BodyText"/>
        <w:spacing w:after="0"/>
        <w:rPr>
          <w:rFonts w:eastAsiaTheme="majorEastAsia"/>
          <w:b/>
          <w:bCs/>
        </w:rPr>
      </w:pPr>
    </w:p>
    <w:p w:rsidR="00306F9C" w:rsidRDefault="00306F9C">
      <w:pPr>
        <w:spacing w:after="200" w:line="276" w:lineRule="auto"/>
        <w:rPr>
          <w:rFonts w:eastAsiaTheme="majorEastAsia"/>
          <w:b/>
          <w:bCs/>
        </w:rPr>
      </w:pPr>
      <w:bookmarkStart w:id="8" w:name="_Toc429999635"/>
      <w:bookmarkStart w:id="9" w:name="_Toc453842110"/>
      <w:r>
        <w:br w:type="page"/>
      </w:r>
    </w:p>
    <w:p w:rsidR="00BC5855" w:rsidRDefault="000D320A" w:rsidP="00123DE3">
      <w:pPr>
        <w:pStyle w:val="Heading2"/>
        <w:rPr>
          <w:szCs w:val="24"/>
        </w:rPr>
      </w:pPr>
      <w:r w:rsidRPr="00306F9C">
        <w:rPr>
          <w:szCs w:val="24"/>
        </w:rPr>
        <w:lastRenderedPageBreak/>
        <w:t xml:space="preserve">Employment </w:t>
      </w:r>
      <w:r w:rsidR="00D72CA8" w:rsidRPr="00306F9C">
        <w:rPr>
          <w:szCs w:val="24"/>
        </w:rPr>
        <w:t>data</w:t>
      </w:r>
      <w:bookmarkEnd w:id="8"/>
      <w:bookmarkEnd w:id="9"/>
    </w:p>
    <w:p w:rsidR="00306F9C" w:rsidRPr="00306F9C" w:rsidRDefault="00306F9C" w:rsidP="00306F9C"/>
    <w:p w:rsidR="000E7982" w:rsidRPr="00306F9C" w:rsidRDefault="000E7982" w:rsidP="00123DE3">
      <w:pPr>
        <w:pStyle w:val="Caption"/>
        <w:keepNext/>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3</w:t>
      </w:r>
      <w:r w:rsidR="00AF69A0" w:rsidRPr="00306F9C">
        <w:rPr>
          <w:noProof/>
          <w:sz w:val="24"/>
          <w:szCs w:val="24"/>
        </w:rPr>
        <w:fldChar w:fldCharType="end"/>
      </w:r>
      <w:r w:rsidRPr="00306F9C">
        <w:rPr>
          <w:noProof/>
          <w:sz w:val="24"/>
          <w:szCs w:val="24"/>
        </w:rPr>
        <w:t xml:space="preserve">: </w:t>
      </w:r>
      <w:r w:rsidR="00A70A7E" w:rsidRPr="00306F9C">
        <w:rPr>
          <w:noProof/>
          <w:sz w:val="24"/>
          <w:szCs w:val="24"/>
        </w:rPr>
        <w:t>Most</w:t>
      </w:r>
      <w:r w:rsidRPr="00306F9C">
        <w:rPr>
          <w:noProof/>
          <w:sz w:val="24"/>
          <w:szCs w:val="24"/>
        </w:rPr>
        <w:t xml:space="preserve"> </w:t>
      </w:r>
      <w:r w:rsidR="00F941DA" w:rsidRPr="00306F9C">
        <w:rPr>
          <w:noProof/>
          <w:sz w:val="24"/>
          <w:szCs w:val="24"/>
        </w:rPr>
        <w:t xml:space="preserve">recent </w:t>
      </w:r>
      <w:r w:rsidRPr="00306F9C">
        <w:rPr>
          <w:noProof/>
          <w:sz w:val="24"/>
          <w:szCs w:val="24"/>
        </w:rPr>
        <w:t xml:space="preserve">employment </w:t>
      </w:r>
      <w:r w:rsidR="00273ED7" w:rsidRPr="00306F9C">
        <w:rPr>
          <w:noProof/>
          <w:sz w:val="24"/>
          <w:szCs w:val="24"/>
        </w:rPr>
        <w:t>data</w:t>
      </w:r>
      <w:r w:rsidR="00CC497A" w:rsidRPr="00306F9C">
        <w:rPr>
          <w:noProof/>
          <w:sz w:val="24"/>
          <w:szCs w:val="24"/>
        </w:rPr>
        <w:t>, aged 20-64</w:t>
      </w:r>
    </w:p>
    <w:p w:rsidR="000E7982" w:rsidRPr="00306F9C" w:rsidRDefault="003D7AB4" w:rsidP="00123DE3">
      <w:r w:rsidRPr="00306F9C">
        <w:rPr>
          <w:noProof/>
          <w:lang w:eastAsia="en-GB"/>
        </w:rPr>
        <w:drawing>
          <wp:inline distT="0" distB="0" distL="0" distR="0" wp14:anchorId="0C6E3F22" wp14:editId="7C78BCE9">
            <wp:extent cx="5581934" cy="2361062"/>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385B" w:rsidRDefault="00AB385B"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w:t>
      </w:r>
    </w:p>
    <w:p w:rsidR="00306F9C" w:rsidRPr="00306F9C" w:rsidRDefault="00306F9C" w:rsidP="00123DE3">
      <w:pPr>
        <w:pStyle w:val="Sourcereference"/>
        <w:spacing w:after="0"/>
        <w:rPr>
          <w:sz w:val="24"/>
          <w:lang w:eastAsia="en-GB"/>
        </w:rPr>
      </w:pPr>
    </w:p>
    <w:p w:rsidR="00A70A7E" w:rsidRPr="00306F9C" w:rsidRDefault="00A70A7E"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4</w:t>
      </w:r>
      <w:r w:rsidR="00AF69A0" w:rsidRPr="00306F9C">
        <w:rPr>
          <w:noProof/>
          <w:sz w:val="24"/>
          <w:szCs w:val="24"/>
        </w:rPr>
        <w:fldChar w:fldCharType="end"/>
      </w:r>
      <w:r w:rsidRPr="00306F9C">
        <w:rPr>
          <w:sz w:val="24"/>
          <w:szCs w:val="24"/>
        </w:rPr>
        <w:t xml:space="preserve">: Employment </w:t>
      </w:r>
      <w:r w:rsidR="00D87A57" w:rsidRPr="00306F9C">
        <w:rPr>
          <w:sz w:val="24"/>
          <w:szCs w:val="24"/>
        </w:rPr>
        <w:t xml:space="preserve">rate data, </w:t>
      </w:r>
      <w:r w:rsidRPr="00306F9C">
        <w:rPr>
          <w:sz w:val="24"/>
          <w:szCs w:val="24"/>
        </w:rPr>
        <w:t>by age group</w:t>
      </w:r>
    </w:p>
    <w:p w:rsidR="0057731B" w:rsidRPr="00306F9C" w:rsidRDefault="00A70A7E" w:rsidP="00123DE3">
      <w:r w:rsidRPr="00306F9C">
        <w:rPr>
          <w:noProof/>
          <w:lang w:eastAsia="en-GB"/>
        </w:rPr>
        <w:drawing>
          <wp:inline distT="0" distB="0" distL="0" distR="0" wp14:anchorId="3EF43460" wp14:editId="398A18EC">
            <wp:extent cx="5581934" cy="256578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385B" w:rsidRPr="00306F9C" w:rsidRDefault="00AB385B" w:rsidP="00123DE3">
      <w:pPr>
        <w:pStyle w:val="Sourcereference"/>
        <w:spacing w:after="0"/>
        <w:rPr>
          <w:sz w:val="24"/>
          <w:lang w:eastAsia="en-GB"/>
        </w:rPr>
      </w:pPr>
      <w:r w:rsidRPr="00306F9C">
        <w:rPr>
          <w:sz w:val="24"/>
        </w:rPr>
        <w:t xml:space="preserve">Source: </w:t>
      </w:r>
      <w:r w:rsidRPr="00306F9C">
        <w:rPr>
          <w:sz w:val="24"/>
          <w:lang w:eastAsia="en-GB"/>
        </w:rPr>
        <w:t xml:space="preserve">EUSILC UDB </w:t>
      </w:r>
      <w:r w:rsidR="004516D5" w:rsidRPr="00306F9C">
        <w:rPr>
          <w:sz w:val="24"/>
          <w:lang w:eastAsia="en-GB"/>
        </w:rPr>
        <w:t>2013 – version 2 of August 2015</w:t>
      </w:r>
    </w:p>
    <w:p w:rsidR="00BC5855" w:rsidRPr="00306F9C" w:rsidRDefault="00EB6123" w:rsidP="00123DE3">
      <w:pPr>
        <w:rPr>
          <w:i/>
          <w:lang w:eastAsia="en-GB"/>
        </w:rPr>
      </w:pPr>
      <w:r w:rsidRPr="00306F9C">
        <w:rPr>
          <w:i/>
          <w:lang w:eastAsia="en-GB"/>
        </w:rPr>
        <w:t xml:space="preserve">* In Greece there are fewer than 50 observations in the sample of people aged 16-24 who declare impairment/limitation. These data should be treated with caution. </w:t>
      </w:r>
    </w:p>
    <w:p w:rsidR="00DF1581" w:rsidRPr="00306F9C" w:rsidRDefault="00DF1581" w:rsidP="00123DE3">
      <w:pPr>
        <w:pStyle w:val="Caption"/>
        <w:keepNext/>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5</w:t>
      </w:r>
      <w:r w:rsidR="00AF69A0" w:rsidRPr="00306F9C">
        <w:rPr>
          <w:noProof/>
          <w:sz w:val="24"/>
          <w:szCs w:val="24"/>
        </w:rPr>
        <w:fldChar w:fldCharType="end"/>
      </w:r>
      <w:r w:rsidR="00837BCB" w:rsidRPr="00306F9C">
        <w:rPr>
          <w:sz w:val="24"/>
          <w:szCs w:val="24"/>
        </w:rPr>
        <w:t xml:space="preserve">: </w:t>
      </w:r>
      <w:r w:rsidR="00D240FA" w:rsidRPr="00306F9C">
        <w:rPr>
          <w:sz w:val="24"/>
          <w:szCs w:val="24"/>
        </w:rPr>
        <w:t>T</w:t>
      </w:r>
      <w:r w:rsidRPr="00306F9C">
        <w:rPr>
          <w:sz w:val="24"/>
          <w:szCs w:val="24"/>
        </w:rPr>
        <w:t>rend</w:t>
      </w:r>
      <w:r w:rsidR="00837BCB" w:rsidRPr="00306F9C">
        <w:rPr>
          <w:sz w:val="24"/>
          <w:szCs w:val="24"/>
        </w:rPr>
        <w:t>s</w:t>
      </w:r>
      <w:r w:rsidRPr="00306F9C">
        <w:rPr>
          <w:sz w:val="24"/>
          <w:szCs w:val="24"/>
        </w:rPr>
        <w:t xml:space="preserve"> in employment </w:t>
      </w:r>
      <w:r w:rsidR="00837BCB" w:rsidRPr="00306F9C">
        <w:rPr>
          <w:sz w:val="24"/>
          <w:szCs w:val="24"/>
        </w:rPr>
        <w:t>by gender and disability (</w:t>
      </w:r>
      <w:r w:rsidR="007804E3" w:rsidRPr="00306F9C">
        <w:rPr>
          <w:sz w:val="24"/>
          <w:szCs w:val="24"/>
        </w:rPr>
        <w:t>aged 20-64</w:t>
      </w:r>
      <w:r w:rsidR="00837BCB" w:rsidRPr="00306F9C">
        <w:rPr>
          <w:sz w:val="24"/>
          <w:szCs w:val="24"/>
        </w:rPr>
        <w:t>)</w:t>
      </w:r>
    </w:p>
    <w:p w:rsidR="00A73DF3" w:rsidRPr="00306F9C" w:rsidRDefault="00915E6B" w:rsidP="00123DE3">
      <w:r w:rsidRPr="00306F9C">
        <w:rPr>
          <w:noProof/>
          <w:lang w:eastAsia="en-GB"/>
        </w:rPr>
        <w:drawing>
          <wp:inline distT="0" distB="0" distL="0" distR="0" wp14:anchorId="01EAEB9B" wp14:editId="2C5D52EE">
            <wp:extent cx="5486400" cy="46386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09C9" w:rsidRPr="00306F9C" w:rsidRDefault="007709C9"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r w:rsidRPr="00306F9C">
        <w:rPr>
          <w:sz w:val="24"/>
          <w:lang w:eastAsia="en-GB"/>
        </w:rPr>
        <w:t xml:space="preserve"> (and preceding UDBs)</w:t>
      </w:r>
    </w:p>
    <w:p w:rsidR="00306F9C" w:rsidRDefault="00306F9C" w:rsidP="00123DE3">
      <w:pPr>
        <w:pStyle w:val="BodyText"/>
        <w:spacing w:after="0"/>
      </w:pPr>
    </w:p>
    <w:p w:rsidR="009C539B" w:rsidRDefault="009C539B" w:rsidP="00123DE3">
      <w:pPr>
        <w:pStyle w:val="BodyText"/>
        <w:spacing w:after="0"/>
      </w:pPr>
      <w:r w:rsidRPr="00306F9C">
        <w:t>The table above shows a comparison of national employment trends for disabled and non-disabled women and men, and compares this with the EU2020 headline indicator for the EU as a whole.</w:t>
      </w:r>
    </w:p>
    <w:p w:rsidR="00306F9C" w:rsidRPr="00306F9C" w:rsidRDefault="00306F9C" w:rsidP="00123DE3">
      <w:pPr>
        <w:pStyle w:val="BodyText"/>
        <w:spacing w:after="0"/>
      </w:pPr>
    </w:p>
    <w:p w:rsidR="0066278F" w:rsidRPr="00306F9C" w:rsidRDefault="0066278F" w:rsidP="00123DE3">
      <w:pPr>
        <w:pStyle w:val="Un-numberedsubheading"/>
        <w:spacing w:after="0"/>
      </w:pPr>
      <w:r w:rsidRPr="00306F9C">
        <w:t xml:space="preserve">Alternative data on disability and employment </w:t>
      </w:r>
      <w:r w:rsidR="00803568" w:rsidRPr="00306F9C">
        <w:t>provided by the national expert</w:t>
      </w:r>
      <w:r w:rsidRPr="00306F9C">
        <w:t>:</w:t>
      </w:r>
    </w:p>
    <w:p w:rsidR="00846480" w:rsidRPr="00306F9C" w:rsidRDefault="00846480" w:rsidP="00123DE3"/>
    <w:p w:rsidR="00846480" w:rsidRPr="00306F9C" w:rsidRDefault="0085292D" w:rsidP="00123DE3">
      <w:r w:rsidRPr="00306F9C">
        <w:t xml:space="preserve">No national data is available for disability and employment. </w:t>
      </w:r>
    </w:p>
    <w:p w:rsidR="00846480" w:rsidRPr="00306F9C" w:rsidRDefault="00846480" w:rsidP="00123DE3"/>
    <w:p w:rsidR="00561FF5" w:rsidRPr="00306F9C" w:rsidRDefault="00561FF5" w:rsidP="00123DE3">
      <w:pPr>
        <w:pStyle w:val="Heading3"/>
      </w:pPr>
      <w:bookmarkStart w:id="10" w:name="_Toc429999636"/>
      <w:bookmarkStart w:id="11" w:name="_Toc453842111"/>
      <w:r w:rsidRPr="00306F9C">
        <w:t>Unemployment</w:t>
      </w:r>
      <w:bookmarkEnd w:id="10"/>
      <w:bookmarkEnd w:id="11"/>
    </w:p>
    <w:p w:rsidR="00306F9C" w:rsidRDefault="00306F9C" w:rsidP="00123DE3">
      <w:pPr>
        <w:pStyle w:val="BodyText"/>
        <w:spacing w:after="0"/>
      </w:pPr>
    </w:p>
    <w:p w:rsidR="00B24B1B" w:rsidRDefault="00B24B1B" w:rsidP="00123DE3">
      <w:pPr>
        <w:pStyle w:val="BodyText"/>
        <w:spacing w:after="0"/>
      </w:pPr>
      <w:r w:rsidRPr="00306F9C">
        <w:t xml:space="preserve">National administrative rules and definitions of ‘unemployment’ </w:t>
      </w:r>
      <w:r w:rsidR="009C539B" w:rsidRPr="00306F9C">
        <w:t xml:space="preserve">vary, and these </w:t>
      </w:r>
      <w:r w:rsidRPr="00306F9C">
        <w:t xml:space="preserve">may affect the way in which </w:t>
      </w:r>
      <w:r w:rsidR="009C539B" w:rsidRPr="00306F9C">
        <w:t xml:space="preserve">disabled </w:t>
      </w:r>
      <w:r w:rsidRPr="00306F9C">
        <w:t>people are categorised in different countries.</w:t>
      </w:r>
      <w:r w:rsidR="00082E6D" w:rsidRPr="00306F9C">
        <w:t xml:space="preserve"> The following tables compare national data with the EU2020 headline indicator for the EU</w:t>
      </w:r>
      <w:r w:rsidR="00306F9C">
        <w:t>.</w:t>
      </w:r>
    </w:p>
    <w:p w:rsidR="00306F9C" w:rsidRPr="00306F9C" w:rsidRDefault="00306F9C" w:rsidP="00123DE3">
      <w:pPr>
        <w:pStyle w:val="BodyText"/>
        <w:spacing w:after="0"/>
      </w:pPr>
    </w:p>
    <w:p w:rsidR="001F6CDE" w:rsidRPr="00306F9C" w:rsidRDefault="001F6CDE" w:rsidP="00123DE3">
      <w:pPr>
        <w:pStyle w:val="Caption"/>
        <w:keepNext/>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6</w:t>
      </w:r>
      <w:r w:rsidR="00AF69A0" w:rsidRPr="00306F9C">
        <w:rPr>
          <w:noProof/>
          <w:sz w:val="24"/>
          <w:szCs w:val="24"/>
        </w:rPr>
        <w:fldChar w:fldCharType="end"/>
      </w:r>
      <w:r w:rsidRPr="00306F9C">
        <w:rPr>
          <w:noProof/>
          <w:sz w:val="24"/>
          <w:szCs w:val="24"/>
        </w:rPr>
        <w:t xml:space="preserve">: Most recent </w:t>
      </w:r>
      <w:r w:rsidR="00C07F4A" w:rsidRPr="00306F9C">
        <w:rPr>
          <w:noProof/>
          <w:sz w:val="24"/>
          <w:szCs w:val="24"/>
        </w:rPr>
        <w:t>un</w:t>
      </w:r>
      <w:r w:rsidRPr="00306F9C">
        <w:rPr>
          <w:noProof/>
          <w:sz w:val="24"/>
          <w:szCs w:val="24"/>
        </w:rPr>
        <w:t>employment data, aged 20-64</w:t>
      </w:r>
    </w:p>
    <w:p w:rsidR="001F6CDE" w:rsidRPr="00306F9C" w:rsidRDefault="001F6CDE" w:rsidP="00123DE3">
      <w:r w:rsidRPr="00306F9C">
        <w:rPr>
          <w:noProof/>
          <w:lang w:eastAsia="en-GB"/>
        </w:rPr>
        <w:drawing>
          <wp:inline distT="0" distB="0" distL="0" distR="0" wp14:anchorId="13434218" wp14:editId="164B3DBB">
            <wp:extent cx="5583044" cy="259451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6CDE" w:rsidRDefault="001F6CDE"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306F9C" w:rsidRPr="00306F9C" w:rsidRDefault="00306F9C" w:rsidP="00123DE3">
      <w:pPr>
        <w:pStyle w:val="Sourcereference"/>
        <w:spacing w:after="0"/>
        <w:rPr>
          <w:sz w:val="24"/>
          <w:lang w:eastAsia="en-GB"/>
        </w:rPr>
      </w:pPr>
    </w:p>
    <w:p w:rsidR="001F6CDE" w:rsidRPr="00306F9C" w:rsidRDefault="001F6CDE"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7</w:t>
      </w:r>
      <w:r w:rsidR="00AF69A0" w:rsidRPr="00306F9C">
        <w:rPr>
          <w:noProof/>
          <w:sz w:val="24"/>
          <w:szCs w:val="24"/>
        </w:rPr>
        <w:fldChar w:fldCharType="end"/>
      </w:r>
      <w:r w:rsidRPr="00306F9C">
        <w:rPr>
          <w:sz w:val="24"/>
          <w:szCs w:val="24"/>
        </w:rPr>
        <w:t xml:space="preserve">: </w:t>
      </w:r>
      <w:r w:rsidR="00E16FB4" w:rsidRPr="00306F9C">
        <w:rPr>
          <w:sz w:val="24"/>
          <w:szCs w:val="24"/>
        </w:rPr>
        <w:t>Une</w:t>
      </w:r>
      <w:r w:rsidRPr="00306F9C">
        <w:rPr>
          <w:sz w:val="24"/>
          <w:szCs w:val="24"/>
        </w:rPr>
        <w:t>mployment rate data, by age group</w:t>
      </w:r>
    </w:p>
    <w:p w:rsidR="001F6CDE" w:rsidRPr="00306F9C" w:rsidRDefault="001F6CDE" w:rsidP="00123DE3">
      <w:r w:rsidRPr="00306F9C">
        <w:rPr>
          <w:noProof/>
          <w:lang w:eastAsia="en-GB"/>
        </w:rPr>
        <w:drawing>
          <wp:inline distT="0" distB="0" distL="0" distR="0" wp14:anchorId="5F8BEC73" wp14:editId="15FAD67D">
            <wp:extent cx="5583044" cy="266885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6CDE" w:rsidRPr="00306F9C" w:rsidRDefault="001F6CDE"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643FC9" w:rsidRPr="00306F9C" w:rsidRDefault="00EB6123" w:rsidP="00123DE3">
      <w:pPr>
        <w:rPr>
          <w:i/>
          <w:lang w:eastAsia="en-GB"/>
        </w:rPr>
      </w:pPr>
      <w:r w:rsidRPr="00306F9C">
        <w:rPr>
          <w:i/>
          <w:lang w:eastAsia="en-GB"/>
        </w:rPr>
        <w:t xml:space="preserve">* In Greece there are fewer than 50 observations in the sample of people aged 16-24 who declare impairment/limitation. These data should be treated with caution. </w:t>
      </w:r>
    </w:p>
    <w:p w:rsidR="00643FC9" w:rsidRPr="00306F9C" w:rsidRDefault="00643FC9" w:rsidP="00123DE3">
      <w:pPr>
        <w:rPr>
          <w:lang w:eastAsia="en-GB"/>
        </w:rPr>
      </w:pPr>
    </w:p>
    <w:p w:rsidR="006503F2" w:rsidRPr="00306F9C" w:rsidRDefault="006503F2" w:rsidP="00123DE3">
      <w:pPr>
        <w:pStyle w:val="Caption"/>
        <w:keepNext/>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8</w:t>
      </w:r>
      <w:r w:rsidR="00AF69A0" w:rsidRPr="00306F9C">
        <w:rPr>
          <w:noProof/>
          <w:sz w:val="24"/>
          <w:szCs w:val="24"/>
        </w:rPr>
        <w:fldChar w:fldCharType="end"/>
      </w:r>
      <w:r w:rsidRPr="00306F9C">
        <w:rPr>
          <w:sz w:val="24"/>
          <w:szCs w:val="24"/>
        </w:rPr>
        <w:t xml:space="preserve">: </w:t>
      </w:r>
      <w:r w:rsidR="002A7F69" w:rsidRPr="00306F9C">
        <w:rPr>
          <w:sz w:val="24"/>
          <w:szCs w:val="24"/>
        </w:rPr>
        <w:t>T</w:t>
      </w:r>
      <w:r w:rsidRPr="00306F9C">
        <w:rPr>
          <w:sz w:val="24"/>
          <w:szCs w:val="24"/>
        </w:rPr>
        <w:t>rends in unemployment by gender and disability (aged 20-64)</w:t>
      </w:r>
    </w:p>
    <w:p w:rsidR="006503F2" w:rsidRPr="00306F9C" w:rsidRDefault="006503F2" w:rsidP="00123DE3">
      <w:r w:rsidRPr="00306F9C">
        <w:rPr>
          <w:noProof/>
          <w:lang w:eastAsia="en-GB"/>
        </w:rPr>
        <w:drawing>
          <wp:inline distT="0" distB="0" distL="0" distR="0" wp14:anchorId="530343AA" wp14:editId="3F47AAD2">
            <wp:extent cx="5486400" cy="46386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03F2" w:rsidRPr="00306F9C" w:rsidRDefault="006503F2"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 (and preceding UDBs)</w:t>
      </w:r>
    </w:p>
    <w:p w:rsidR="00497983" w:rsidRDefault="00497983" w:rsidP="00123DE3">
      <w:pPr>
        <w:pStyle w:val="Sourcereference"/>
        <w:spacing w:after="0"/>
        <w:rPr>
          <w:sz w:val="24"/>
          <w:lang w:eastAsia="en-GB"/>
        </w:rPr>
      </w:pPr>
      <w:r w:rsidRPr="00306F9C">
        <w:rPr>
          <w:sz w:val="24"/>
          <w:lang w:eastAsia="en-GB"/>
        </w:rPr>
        <w:t>Fluctuations in gendered trends of unemployment for people with impairments at national level should be treated with some caution.</w:t>
      </w:r>
    </w:p>
    <w:p w:rsidR="00306F9C" w:rsidRPr="00306F9C" w:rsidRDefault="00306F9C" w:rsidP="00123DE3">
      <w:pPr>
        <w:pStyle w:val="Sourcereference"/>
        <w:spacing w:after="0"/>
        <w:rPr>
          <w:sz w:val="24"/>
          <w:lang w:eastAsia="en-GB"/>
        </w:rPr>
      </w:pPr>
    </w:p>
    <w:p w:rsidR="00082E6D" w:rsidRPr="00306F9C" w:rsidRDefault="00082E6D" w:rsidP="00123DE3">
      <w:pPr>
        <w:pStyle w:val="Un-numberedsubheading"/>
        <w:spacing w:after="0"/>
      </w:pPr>
      <w:r w:rsidRPr="00306F9C">
        <w:t>Alternative data on disability and unemployment from national sources:</w:t>
      </w:r>
    </w:p>
    <w:p w:rsidR="00561FF5" w:rsidRPr="00306F9C" w:rsidRDefault="00561FF5" w:rsidP="00123DE3"/>
    <w:p w:rsidR="00306F9C" w:rsidRDefault="0085292D" w:rsidP="00123DE3">
      <w:r w:rsidRPr="00306F9C">
        <w:t>No national data is available for disability and unemployment.</w:t>
      </w:r>
    </w:p>
    <w:p w:rsidR="00082E6D" w:rsidRPr="00306F9C" w:rsidRDefault="00082E6D" w:rsidP="00123DE3">
      <w:r w:rsidRPr="00306F9C">
        <w:br w:type="page"/>
      </w:r>
    </w:p>
    <w:p w:rsidR="008A5AB7" w:rsidRDefault="00561FF5" w:rsidP="00123DE3">
      <w:pPr>
        <w:pStyle w:val="Heading3"/>
      </w:pPr>
      <w:bookmarkStart w:id="12" w:name="_Toc429999637"/>
      <w:bookmarkStart w:id="13" w:name="_Toc453842112"/>
      <w:r w:rsidRPr="00306F9C">
        <w:lastRenderedPageBreak/>
        <w:t>Economic activity</w:t>
      </w:r>
      <w:bookmarkEnd w:id="12"/>
      <w:bookmarkEnd w:id="13"/>
    </w:p>
    <w:p w:rsidR="00306F9C" w:rsidRPr="00306F9C" w:rsidRDefault="00306F9C" w:rsidP="00306F9C"/>
    <w:p w:rsidR="002E420B" w:rsidRPr="00306F9C" w:rsidRDefault="002E420B"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9</w:t>
      </w:r>
      <w:r w:rsidR="00AF69A0" w:rsidRPr="00306F9C">
        <w:rPr>
          <w:noProof/>
          <w:sz w:val="24"/>
          <w:szCs w:val="24"/>
        </w:rPr>
        <w:fldChar w:fldCharType="end"/>
      </w:r>
      <w:r w:rsidRPr="00306F9C">
        <w:rPr>
          <w:noProof/>
          <w:sz w:val="24"/>
          <w:szCs w:val="24"/>
        </w:rPr>
        <w:t xml:space="preserve">: Most recent </w:t>
      </w:r>
      <w:r w:rsidR="00C07F4A" w:rsidRPr="00306F9C">
        <w:rPr>
          <w:noProof/>
          <w:sz w:val="24"/>
          <w:szCs w:val="24"/>
        </w:rPr>
        <w:t>economic activty</w:t>
      </w:r>
      <w:r w:rsidRPr="00306F9C">
        <w:rPr>
          <w:noProof/>
          <w:sz w:val="24"/>
          <w:szCs w:val="24"/>
        </w:rPr>
        <w:t xml:space="preserve"> data, aged 20-64</w:t>
      </w:r>
    </w:p>
    <w:p w:rsidR="002E420B" w:rsidRPr="00306F9C" w:rsidRDefault="002E420B" w:rsidP="00123DE3">
      <w:r w:rsidRPr="00306F9C">
        <w:rPr>
          <w:noProof/>
          <w:lang w:eastAsia="en-GB"/>
        </w:rPr>
        <w:drawing>
          <wp:inline distT="0" distB="0" distL="0" distR="0" wp14:anchorId="3B7120DE" wp14:editId="7E06B1AC">
            <wp:extent cx="5583044" cy="259451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420B" w:rsidRDefault="002E420B"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306F9C" w:rsidRPr="00306F9C" w:rsidRDefault="00306F9C" w:rsidP="00123DE3">
      <w:pPr>
        <w:pStyle w:val="Sourcereference"/>
        <w:spacing w:after="0"/>
        <w:rPr>
          <w:sz w:val="24"/>
          <w:lang w:eastAsia="en-GB"/>
        </w:rPr>
      </w:pPr>
    </w:p>
    <w:p w:rsidR="002E420B" w:rsidRPr="00306F9C" w:rsidRDefault="002E420B"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10</w:t>
      </w:r>
      <w:r w:rsidR="00AF69A0" w:rsidRPr="00306F9C">
        <w:rPr>
          <w:noProof/>
          <w:sz w:val="24"/>
          <w:szCs w:val="24"/>
        </w:rPr>
        <w:fldChar w:fldCharType="end"/>
      </w:r>
      <w:r w:rsidRPr="00306F9C">
        <w:rPr>
          <w:sz w:val="24"/>
          <w:szCs w:val="24"/>
        </w:rPr>
        <w:t xml:space="preserve">: </w:t>
      </w:r>
      <w:r w:rsidR="00C07F4A" w:rsidRPr="00306F9C">
        <w:rPr>
          <w:sz w:val="24"/>
          <w:szCs w:val="24"/>
        </w:rPr>
        <w:t>Activity</w:t>
      </w:r>
      <w:r w:rsidRPr="00306F9C">
        <w:rPr>
          <w:sz w:val="24"/>
          <w:szCs w:val="24"/>
        </w:rPr>
        <w:t xml:space="preserve"> rate data, by age group</w:t>
      </w:r>
    </w:p>
    <w:p w:rsidR="002E420B" w:rsidRPr="00306F9C" w:rsidRDefault="002E420B" w:rsidP="00123DE3">
      <w:r w:rsidRPr="00306F9C">
        <w:rPr>
          <w:noProof/>
          <w:lang w:eastAsia="en-GB"/>
        </w:rPr>
        <w:drawing>
          <wp:inline distT="0" distB="0" distL="0" distR="0" wp14:anchorId="61DB0932" wp14:editId="2AFCAACB">
            <wp:extent cx="5583044" cy="2668858"/>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420B" w:rsidRPr="00306F9C" w:rsidRDefault="002E420B"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643FC9" w:rsidRPr="00306F9C" w:rsidRDefault="00EB6123" w:rsidP="00123DE3">
      <w:pPr>
        <w:rPr>
          <w:i/>
          <w:lang w:eastAsia="en-GB"/>
        </w:rPr>
      </w:pPr>
      <w:r w:rsidRPr="00306F9C">
        <w:rPr>
          <w:i/>
          <w:lang w:eastAsia="en-GB"/>
        </w:rPr>
        <w:t xml:space="preserve">* In Greece there are fewer than 50 observations in the sample of people aged 16-24 who declare impairment/limitation. These data should be treated with caution. </w:t>
      </w:r>
    </w:p>
    <w:p w:rsidR="00643FC9" w:rsidRPr="00306F9C" w:rsidRDefault="00643FC9" w:rsidP="00123DE3">
      <w:pPr>
        <w:rPr>
          <w:lang w:eastAsia="en-GB"/>
        </w:rPr>
      </w:pPr>
    </w:p>
    <w:p w:rsidR="00834272" w:rsidRPr="00306F9C" w:rsidRDefault="00834272" w:rsidP="00123DE3">
      <w:pPr>
        <w:pStyle w:val="Caption"/>
        <w:keepNext/>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11</w:t>
      </w:r>
      <w:r w:rsidR="00AF69A0" w:rsidRPr="00306F9C">
        <w:rPr>
          <w:noProof/>
          <w:sz w:val="24"/>
          <w:szCs w:val="24"/>
        </w:rPr>
        <w:fldChar w:fldCharType="end"/>
      </w:r>
      <w:r w:rsidRPr="00306F9C">
        <w:rPr>
          <w:sz w:val="24"/>
          <w:szCs w:val="24"/>
        </w:rPr>
        <w:t>: Trends in activity rates by gender and disability (aged 20-64)</w:t>
      </w:r>
    </w:p>
    <w:p w:rsidR="00834272" w:rsidRPr="00306F9C" w:rsidRDefault="00834272" w:rsidP="00123DE3">
      <w:r w:rsidRPr="00306F9C">
        <w:rPr>
          <w:noProof/>
          <w:lang w:eastAsia="en-GB"/>
        </w:rPr>
        <w:drawing>
          <wp:inline distT="0" distB="0" distL="0" distR="0" wp14:anchorId="3A30E93D" wp14:editId="0170AB8C">
            <wp:extent cx="5486400" cy="46386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4272" w:rsidRDefault="00834272"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 (and preceding UDBs)</w:t>
      </w:r>
    </w:p>
    <w:p w:rsidR="00306F9C" w:rsidRPr="00306F9C" w:rsidRDefault="00306F9C" w:rsidP="00123DE3">
      <w:pPr>
        <w:pStyle w:val="Sourcereference"/>
        <w:spacing w:after="0"/>
        <w:rPr>
          <w:sz w:val="24"/>
          <w:lang w:eastAsia="en-GB"/>
        </w:rPr>
      </w:pPr>
    </w:p>
    <w:p w:rsidR="0066278F" w:rsidRDefault="0066278F" w:rsidP="00123DE3">
      <w:pPr>
        <w:pStyle w:val="Un-numberedsubheading"/>
        <w:spacing w:after="0"/>
      </w:pPr>
      <w:r w:rsidRPr="00306F9C">
        <w:t xml:space="preserve">Alternative data on disability and </w:t>
      </w:r>
      <w:r w:rsidR="00ED4CF4" w:rsidRPr="00306F9C">
        <w:t>economic activity</w:t>
      </w:r>
      <w:r w:rsidRPr="00306F9C">
        <w:t xml:space="preserve"> </w:t>
      </w:r>
      <w:r w:rsidR="00803568" w:rsidRPr="00306F9C">
        <w:t>provided by the national expert</w:t>
      </w:r>
      <w:r w:rsidRPr="00306F9C">
        <w:t>:</w:t>
      </w:r>
    </w:p>
    <w:p w:rsidR="00306F9C" w:rsidRPr="00306F9C" w:rsidRDefault="00306F9C" w:rsidP="00123DE3">
      <w:pPr>
        <w:pStyle w:val="Un-numberedsubheading"/>
        <w:spacing w:after="0"/>
      </w:pPr>
    </w:p>
    <w:p w:rsidR="005831C6" w:rsidRDefault="00EC014F" w:rsidP="00123DE3">
      <w:r w:rsidRPr="00306F9C">
        <w:t xml:space="preserve">No national data is available for disability and economic activity. </w:t>
      </w:r>
    </w:p>
    <w:p w:rsidR="00306F9C" w:rsidRPr="00306F9C" w:rsidRDefault="00306F9C" w:rsidP="00123DE3"/>
    <w:p w:rsidR="000E59E4" w:rsidRPr="00306F9C" w:rsidRDefault="00BF6032" w:rsidP="00123DE3">
      <w:pPr>
        <w:pStyle w:val="Heading2"/>
        <w:rPr>
          <w:szCs w:val="24"/>
        </w:rPr>
      </w:pPr>
      <w:bookmarkStart w:id="14" w:name="_Toc429999638"/>
      <w:bookmarkStart w:id="15" w:name="_Toc453842113"/>
      <w:r w:rsidRPr="00306F9C">
        <w:rPr>
          <w:szCs w:val="24"/>
        </w:rPr>
        <w:t>Education</w:t>
      </w:r>
      <w:r w:rsidR="00D939BF" w:rsidRPr="00306F9C">
        <w:rPr>
          <w:szCs w:val="24"/>
        </w:rPr>
        <w:t xml:space="preserve"> data</w:t>
      </w:r>
      <w:bookmarkEnd w:id="14"/>
      <w:bookmarkEnd w:id="15"/>
    </w:p>
    <w:p w:rsidR="00306F9C" w:rsidRDefault="00306F9C" w:rsidP="00123DE3">
      <w:pPr>
        <w:pStyle w:val="BodyText"/>
        <w:spacing w:after="0"/>
      </w:pPr>
    </w:p>
    <w:p w:rsidR="005A3FC7" w:rsidRPr="00306F9C" w:rsidRDefault="00A55D57" w:rsidP="00123DE3">
      <w:pPr>
        <w:pStyle w:val="BodyText"/>
        <w:spacing w:after="0"/>
      </w:pPr>
      <w:r w:rsidRPr="00306F9C">
        <w:t xml:space="preserve">EU </w:t>
      </w:r>
      <w:r w:rsidR="005A3FC7" w:rsidRPr="00306F9C">
        <w:t xml:space="preserve">statistical comparisons </w:t>
      </w:r>
      <w:r w:rsidR="00ED4CF4" w:rsidRPr="00306F9C">
        <w:t xml:space="preserve">are </w:t>
      </w:r>
      <w:r w:rsidR="00837BCB" w:rsidRPr="00306F9C">
        <w:t xml:space="preserve">more </w:t>
      </w:r>
      <w:r w:rsidR="00ED4CF4" w:rsidRPr="00306F9C">
        <w:t xml:space="preserve">limited </w:t>
      </w:r>
      <w:r w:rsidR="00BF6032" w:rsidRPr="00306F9C">
        <w:t>concerning</w:t>
      </w:r>
      <w:r w:rsidR="005A3FC7" w:rsidRPr="00306F9C">
        <w:t xml:space="preserve"> the education of young</w:t>
      </w:r>
      <w:r w:rsidR="00512FB4" w:rsidRPr="00306F9C">
        <w:t xml:space="preserve"> disabled </w:t>
      </w:r>
      <w:r w:rsidR="005A3FC7" w:rsidRPr="00306F9C">
        <w:t xml:space="preserve">women and men </w:t>
      </w:r>
      <w:r w:rsidR="00837BCB" w:rsidRPr="00306F9C">
        <w:t>in the EU2020 target age groups</w:t>
      </w:r>
      <w:r w:rsidR="005A3FC7" w:rsidRPr="00306F9C">
        <w:t xml:space="preserve">. </w:t>
      </w:r>
      <w:r w:rsidR="00EA2651" w:rsidRPr="00306F9C">
        <w:t>D</w:t>
      </w:r>
      <w:r w:rsidRPr="00306F9C">
        <w:t>ata is</w:t>
      </w:r>
      <w:r w:rsidR="005A3FC7" w:rsidRPr="00306F9C">
        <w:t xml:space="preserve"> available from EU-SILC </w:t>
      </w:r>
      <w:r w:rsidR="00EA2651" w:rsidRPr="00306F9C">
        <w:t xml:space="preserve">(annually) </w:t>
      </w:r>
      <w:r w:rsidR="00C37551" w:rsidRPr="00306F9C">
        <w:t>as well as</w:t>
      </w:r>
      <w:r w:rsidR="005A3FC7" w:rsidRPr="00306F9C">
        <w:t xml:space="preserve"> the Eurostat Labour Force Survey ad-hoc </w:t>
      </w:r>
      <w:r w:rsidR="00C37551" w:rsidRPr="00306F9C">
        <w:t xml:space="preserve">disability </w:t>
      </w:r>
      <w:r w:rsidR="005A3FC7" w:rsidRPr="00306F9C">
        <w:t>module</w:t>
      </w:r>
      <w:r w:rsidR="00D939BF" w:rsidRPr="00306F9C">
        <w:t xml:space="preserve"> (for 2011)</w:t>
      </w:r>
      <w:r w:rsidR="005A3FC7" w:rsidRPr="00306F9C">
        <w:t>, but with low reliability for several countries</w:t>
      </w:r>
      <w:r w:rsidR="007D6A67" w:rsidRPr="00306F9C">
        <w:t xml:space="preserve"> on the key measures</w:t>
      </w:r>
      <w:r w:rsidR="005A3FC7" w:rsidRPr="00306F9C">
        <w:t>.</w:t>
      </w:r>
      <w:r w:rsidR="005A3FC7" w:rsidRPr="00306F9C">
        <w:rPr>
          <w:rStyle w:val="FootnoteReference"/>
        </w:rPr>
        <w:footnoteReference w:id="6"/>
      </w:r>
      <w:r w:rsidR="005A3FC7" w:rsidRPr="00306F9C">
        <w:t xml:space="preserve"> </w:t>
      </w:r>
      <w:r w:rsidR="00837BCB" w:rsidRPr="00306F9C">
        <w:t>Using</w:t>
      </w:r>
      <w:r w:rsidR="00E42735" w:rsidRPr="00306F9C">
        <w:t xml:space="preserve"> </w:t>
      </w:r>
      <w:r w:rsidR="00512FB4" w:rsidRPr="00306F9C">
        <w:t xml:space="preserve">a </w:t>
      </w:r>
      <w:r w:rsidR="00E42735" w:rsidRPr="00306F9C">
        <w:t xml:space="preserve">wider age range can </w:t>
      </w:r>
      <w:r w:rsidR="00837BCB" w:rsidRPr="00306F9C">
        <w:t>improve</w:t>
      </w:r>
      <w:r w:rsidR="00E42735" w:rsidRPr="00306F9C">
        <w:t xml:space="preserve"> reliability but e</w:t>
      </w:r>
      <w:r w:rsidR="00CF18F1" w:rsidRPr="00306F9C">
        <w:t>stimations by gender</w:t>
      </w:r>
      <w:r w:rsidR="00152FE0" w:rsidRPr="00306F9C">
        <w:t xml:space="preserve"> </w:t>
      </w:r>
      <w:r w:rsidR="00837BCB" w:rsidRPr="00306F9C">
        <w:t>remain</w:t>
      </w:r>
      <w:r w:rsidR="00ED4CF4" w:rsidRPr="00306F9C">
        <w:t xml:space="preserve"> </w:t>
      </w:r>
      <w:r w:rsidR="00CF18F1" w:rsidRPr="00306F9C">
        <w:t xml:space="preserve">indicative. </w:t>
      </w:r>
      <w:r w:rsidR="00ED4CF4" w:rsidRPr="00306F9C">
        <w:t xml:space="preserve">EU trends are evident but </w:t>
      </w:r>
      <w:r w:rsidR="007D6A67" w:rsidRPr="00306F9C">
        <w:t xml:space="preserve">administrative </w:t>
      </w:r>
      <w:r w:rsidRPr="00306F9C">
        <w:t xml:space="preserve">data may offer </w:t>
      </w:r>
      <w:r w:rsidR="00AB469B" w:rsidRPr="00306F9C">
        <w:t>more reliable</w:t>
      </w:r>
      <w:r w:rsidR="000F657B" w:rsidRPr="00306F9C">
        <w:t xml:space="preserve"> </w:t>
      </w:r>
      <w:r w:rsidRPr="00306F9C">
        <w:t>alternatives</w:t>
      </w:r>
      <w:r w:rsidR="00152FE0" w:rsidRPr="00306F9C">
        <w:t xml:space="preserve"> </w:t>
      </w:r>
      <w:r w:rsidR="00C21840" w:rsidRPr="00306F9C">
        <w:t>to identify</w:t>
      </w:r>
      <w:r w:rsidR="00152FE0" w:rsidRPr="00306F9C">
        <w:t xml:space="preserve"> national trends</w:t>
      </w:r>
      <w:r w:rsidR="00C21840" w:rsidRPr="00306F9C">
        <w:t>, where available</w:t>
      </w:r>
      <w:r w:rsidR="005A3FC7" w:rsidRPr="00306F9C">
        <w:t>.</w:t>
      </w:r>
    </w:p>
    <w:p w:rsidR="00561FF5" w:rsidRPr="00306F9C" w:rsidRDefault="00561FF5" w:rsidP="00123DE3">
      <w:pPr>
        <w:pStyle w:val="Heading3"/>
      </w:pPr>
      <w:bookmarkStart w:id="16" w:name="_Toc429999639"/>
      <w:bookmarkStart w:id="17" w:name="_Toc453842114"/>
      <w:r w:rsidRPr="00306F9C">
        <w:lastRenderedPageBreak/>
        <w:t>Early school leavers</w:t>
      </w:r>
      <w:bookmarkEnd w:id="16"/>
      <w:bookmarkEnd w:id="17"/>
    </w:p>
    <w:p w:rsidR="00306F9C" w:rsidRDefault="00306F9C" w:rsidP="00123DE3">
      <w:pPr>
        <w:pStyle w:val="BodyText"/>
        <w:spacing w:after="0"/>
      </w:pPr>
    </w:p>
    <w:p w:rsidR="000F657B" w:rsidRDefault="000F657B" w:rsidP="00123DE3">
      <w:pPr>
        <w:pStyle w:val="BodyText"/>
        <w:spacing w:after="0"/>
      </w:pPr>
      <w:r w:rsidRPr="00306F9C">
        <w:t xml:space="preserve">The </w:t>
      </w:r>
      <w:r w:rsidR="00C37551" w:rsidRPr="00306F9C">
        <w:t>EU-</w:t>
      </w:r>
      <w:r w:rsidRPr="00306F9C">
        <w:t>SILC sample for the target age group (aged 18-24) includes the following number of people reporting activity ‘limitation’</w:t>
      </w:r>
      <w:r w:rsidR="00C37551" w:rsidRPr="00306F9C">
        <w:t xml:space="preserve"> (</w:t>
      </w:r>
      <w:r w:rsidR="00ED4CF4" w:rsidRPr="00306F9C">
        <w:t xml:space="preserve">as </w:t>
      </w:r>
      <w:r w:rsidR="00C37551" w:rsidRPr="00306F9C">
        <w:t>a proxy for impairment/disability)</w:t>
      </w:r>
      <w:r w:rsidRPr="00306F9C">
        <w:t>.</w:t>
      </w:r>
    </w:p>
    <w:p w:rsidR="00306F9C" w:rsidRPr="00306F9C" w:rsidRDefault="00306F9C" w:rsidP="00123DE3">
      <w:pPr>
        <w:pStyle w:val="BodyText"/>
        <w:spacing w:after="0"/>
      </w:pPr>
    </w:p>
    <w:p w:rsidR="00C37551" w:rsidRPr="00306F9C" w:rsidRDefault="00C37551"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12</w:t>
      </w:r>
      <w:r w:rsidR="00AF69A0" w:rsidRPr="00306F9C">
        <w:rPr>
          <w:noProof/>
          <w:sz w:val="24"/>
          <w:szCs w:val="24"/>
        </w:rPr>
        <w:fldChar w:fldCharType="end"/>
      </w:r>
      <w:r w:rsidRPr="00306F9C">
        <w:rPr>
          <w:sz w:val="24"/>
          <w:szCs w:val="24"/>
        </w:rPr>
        <w:t xml:space="preserve">: EU-SILC sample size </w:t>
      </w:r>
      <w:r w:rsidR="00ED4CF4" w:rsidRPr="00306F9C">
        <w:rPr>
          <w:sz w:val="24"/>
          <w:szCs w:val="24"/>
        </w:rPr>
        <w:t>in</w:t>
      </w:r>
      <w:r w:rsidRPr="00306F9C">
        <w:rPr>
          <w:sz w:val="24"/>
          <w:szCs w:val="24"/>
        </w:rPr>
        <w:t xml:space="preserve"> the target age group 18-24</w:t>
      </w:r>
      <w:r w:rsidR="00AB385B" w:rsidRPr="00306F9C">
        <w:rPr>
          <w:sz w:val="24"/>
          <w:szCs w:val="24"/>
        </w:rPr>
        <w:t xml:space="preserve"> versus 18-29</w:t>
      </w:r>
    </w:p>
    <w:tbl>
      <w:tblPr>
        <w:tblStyle w:val="TableGrid"/>
        <w:tblW w:w="0" w:type="auto"/>
        <w:tblLook w:val="04A0" w:firstRow="1" w:lastRow="0" w:firstColumn="1" w:lastColumn="0" w:noHBand="0" w:noVBand="1"/>
      </w:tblPr>
      <w:tblGrid>
        <w:gridCol w:w="1598"/>
        <w:gridCol w:w="1969"/>
        <w:gridCol w:w="1762"/>
        <w:gridCol w:w="1969"/>
        <w:gridCol w:w="1762"/>
      </w:tblGrid>
      <w:tr w:rsidR="00AB385B" w:rsidRPr="00306F9C" w:rsidTr="00E024C9">
        <w:tc>
          <w:tcPr>
            <w:tcW w:w="0" w:type="auto"/>
          </w:tcPr>
          <w:p w:rsidR="00AB385B" w:rsidRPr="00306F9C" w:rsidRDefault="00AB385B" w:rsidP="00123DE3"/>
        </w:tc>
        <w:tc>
          <w:tcPr>
            <w:tcW w:w="0" w:type="auto"/>
            <w:gridSpan w:val="2"/>
          </w:tcPr>
          <w:p w:rsidR="00AB385B" w:rsidRPr="00306F9C" w:rsidRDefault="00AB385B" w:rsidP="00123DE3">
            <w:r w:rsidRPr="00306F9C">
              <w:t>Age 18-24</w:t>
            </w:r>
          </w:p>
        </w:tc>
        <w:tc>
          <w:tcPr>
            <w:tcW w:w="0" w:type="auto"/>
            <w:gridSpan w:val="2"/>
          </w:tcPr>
          <w:p w:rsidR="00AB385B" w:rsidRPr="00306F9C" w:rsidRDefault="00AB385B" w:rsidP="00123DE3">
            <w:r w:rsidRPr="00306F9C">
              <w:t>Age 18-29</w:t>
            </w:r>
          </w:p>
        </w:tc>
      </w:tr>
      <w:tr w:rsidR="00AB385B" w:rsidRPr="00306F9C" w:rsidTr="00C37551">
        <w:tc>
          <w:tcPr>
            <w:tcW w:w="0" w:type="auto"/>
          </w:tcPr>
          <w:p w:rsidR="00AB385B" w:rsidRPr="00306F9C" w:rsidRDefault="00AB385B" w:rsidP="00123DE3"/>
        </w:tc>
        <w:tc>
          <w:tcPr>
            <w:tcW w:w="0" w:type="auto"/>
          </w:tcPr>
          <w:p w:rsidR="00AB385B" w:rsidRPr="00306F9C" w:rsidRDefault="00AB385B" w:rsidP="00123DE3">
            <w:r w:rsidRPr="00306F9C">
              <w:t>No activity ‘limitation’</w:t>
            </w:r>
          </w:p>
        </w:tc>
        <w:tc>
          <w:tcPr>
            <w:tcW w:w="0" w:type="auto"/>
          </w:tcPr>
          <w:p w:rsidR="00AB385B" w:rsidRPr="00306F9C" w:rsidRDefault="00AB385B" w:rsidP="00123DE3">
            <w:r w:rsidRPr="00306F9C">
              <w:t>Activity ‘limitation’</w:t>
            </w:r>
          </w:p>
        </w:tc>
        <w:tc>
          <w:tcPr>
            <w:tcW w:w="0" w:type="auto"/>
          </w:tcPr>
          <w:p w:rsidR="00AB385B" w:rsidRPr="00306F9C" w:rsidRDefault="00AB385B" w:rsidP="00123DE3">
            <w:r w:rsidRPr="00306F9C">
              <w:t>No activity ‘limitation’</w:t>
            </w:r>
          </w:p>
        </w:tc>
        <w:tc>
          <w:tcPr>
            <w:tcW w:w="0" w:type="auto"/>
          </w:tcPr>
          <w:p w:rsidR="00AB385B" w:rsidRPr="00306F9C" w:rsidRDefault="00AB385B" w:rsidP="00123DE3">
            <w:r w:rsidRPr="00306F9C">
              <w:t>Activity ‘limitation’</w:t>
            </w:r>
          </w:p>
        </w:tc>
      </w:tr>
      <w:tr w:rsidR="00AB385B" w:rsidRPr="00306F9C" w:rsidTr="00C37551">
        <w:tc>
          <w:tcPr>
            <w:tcW w:w="0" w:type="auto"/>
          </w:tcPr>
          <w:p w:rsidR="00AB385B" w:rsidRPr="00306F9C" w:rsidRDefault="00AB385B" w:rsidP="00123DE3">
            <w:r w:rsidRPr="00306F9C">
              <w:t>EU sample</w:t>
            </w:r>
          </w:p>
        </w:tc>
        <w:tc>
          <w:tcPr>
            <w:tcW w:w="0" w:type="auto"/>
          </w:tcPr>
          <w:p w:rsidR="00AB385B" w:rsidRPr="00306F9C" w:rsidRDefault="00AB385B" w:rsidP="00123DE3">
            <w:r w:rsidRPr="00306F9C">
              <w:t>34,413</w:t>
            </w:r>
          </w:p>
        </w:tc>
        <w:tc>
          <w:tcPr>
            <w:tcW w:w="0" w:type="auto"/>
          </w:tcPr>
          <w:p w:rsidR="00AB385B" w:rsidRPr="00306F9C" w:rsidRDefault="00AB385B" w:rsidP="00123DE3">
            <w:r w:rsidRPr="00306F9C">
              <w:t>2,728</w:t>
            </w:r>
          </w:p>
        </w:tc>
        <w:tc>
          <w:tcPr>
            <w:tcW w:w="0" w:type="auto"/>
          </w:tcPr>
          <w:p w:rsidR="00AB385B" w:rsidRPr="00306F9C" w:rsidRDefault="00AB385B" w:rsidP="00123DE3">
            <w:r w:rsidRPr="00306F9C">
              <w:t>56,461</w:t>
            </w:r>
          </w:p>
        </w:tc>
        <w:tc>
          <w:tcPr>
            <w:tcW w:w="0" w:type="auto"/>
          </w:tcPr>
          <w:p w:rsidR="00AB385B" w:rsidRPr="00306F9C" w:rsidRDefault="00AB385B" w:rsidP="00123DE3">
            <w:r w:rsidRPr="00306F9C">
              <w:t>4,916</w:t>
            </w:r>
          </w:p>
        </w:tc>
      </w:tr>
      <w:tr w:rsidR="00C37551" w:rsidRPr="00306F9C" w:rsidTr="00C37551">
        <w:tc>
          <w:tcPr>
            <w:tcW w:w="0" w:type="auto"/>
          </w:tcPr>
          <w:p w:rsidR="00C37551" w:rsidRPr="00306F9C" w:rsidRDefault="00C37551" w:rsidP="00123DE3">
            <w:r w:rsidRPr="00306F9C">
              <w:t>National sample</w:t>
            </w:r>
          </w:p>
        </w:tc>
        <w:tc>
          <w:tcPr>
            <w:tcW w:w="0" w:type="auto"/>
          </w:tcPr>
          <w:p w:rsidR="00C37551" w:rsidRPr="00306F9C" w:rsidRDefault="00497983" w:rsidP="00123DE3">
            <w:r w:rsidRPr="00306F9C">
              <w:t>1,165</w:t>
            </w:r>
          </w:p>
        </w:tc>
        <w:tc>
          <w:tcPr>
            <w:tcW w:w="0" w:type="auto"/>
          </w:tcPr>
          <w:p w:rsidR="00C37551" w:rsidRPr="00306F9C" w:rsidRDefault="00497983" w:rsidP="00123DE3">
            <w:r w:rsidRPr="00306F9C">
              <w:t>15*</w:t>
            </w:r>
          </w:p>
        </w:tc>
        <w:tc>
          <w:tcPr>
            <w:tcW w:w="0" w:type="auto"/>
          </w:tcPr>
          <w:p w:rsidR="00C37551" w:rsidRPr="00306F9C" w:rsidRDefault="00497983" w:rsidP="00123DE3">
            <w:r w:rsidRPr="00306F9C">
              <w:t>1,867</w:t>
            </w:r>
          </w:p>
        </w:tc>
        <w:tc>
          <w:tcPr>
            <w:tcW w:w="0" w:type="auto"/>
          </w:tcPr>
          <w:p w:rsidR="00C37551" w:rsidRPr="00306F9C" w:rsidRDefault="00497983" w:rsidP="00123DE3">
            <w:r w:rsidRPr="00306F9C">
              <w:t>37*</w:t>
            </w:r>
          </w:p>
        </w:tc>
      </w:tr>
    </w:tbl>
    <w:p w:rsidR="00C37551" w:rsidRPr="00306F9C" w:rsidRDefault="00C37551"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AF323E" w:rsidRPr="00306F9C" w:rsidRDefault="00AF323E" w:rsidP="00123DE3"/>
    <w:p w:rsidR="00D939BF" w:rsidRPr="00306F9C" w:rsidRDefault="00D939BF"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13</w:t>
      </w:r>
      <w:r w:rsidR="00AF69A0" w:rsidRPr="00306F9C">
        <w:rPr>
          <w:noProof/>
          <w:sz w:val="24"/>
          <w:szCs w:val="24"/>
        </w:rPr>
        <w:fldChar w:fldCharType="end"/>
      </w:r>
      <w:r w:rsidRPr="00306F9C">
        <w:rPr>
          <w:sz w:val="24"/>
          <w:szCs w:val="24"/>
        </w:rPr>
        <w:t xml:space="preserve">: </w:t>
      </w:r>
      <w:r w:rsidR="00C37551" w:rsidRPr="00306F9C">
        <w:rPr>
          <w:noProof/>
          <w:sz w:val="24"/>
          <w:szCs w:val="24"/>
        </w:rPr>
        <w:t>E</w:t>
      </w:r>
      <w:r w:rsidR="00D26DAD" w:rsidRPr="00306F9C">
        <w:rPr>
          <w:noProof/>
          <w:sz w:val="24"/>
          <w:szCs w:val="24"/>
        </w:rPr>
        <w:t>arly school leaver</w:t>
      </w:r>
      <w:r w:rsidR="00C37551" w:rsidRPr="00306F9C">
        <w:rPr>
          <w:noProof/>
          <w:sz w:val="24"/>
          <w:szCs w:val="24"/>
        </w:rPr>
        <w:t xml:space="preserve">s </w:t>
      </w:r>
      <w:r w:rsidR="00B270CB" w:rsidRPr="00306F9C">
        <w:rPr>
          <w:noProof/>
          <w:sz w:val="24"/>
          <w:szCs w:val="24"/>
        </w:rPr>
        <w:t xml:space="preserve">aged 18-24 (indicative </w:t>
      </w:r>
      <w:r w:rsidR="00ED4CF4" w:rsidRPr="00306F9C">
        <w:rPr>
          <w:noProof/>
          <w:sz w:val="24"/>
          <w:szCs w:val="24"/>
        </w:rPr>
        <w:t>based on above sample</w:t>
      </w:r>
      <w:r w:rsidR="00777783" w:rsidRPr="00306F9C">
        <w:rPr>
          <w:noProof/>
          <w:sz w:val="24"/>
          <w:szCs w:val="24"/>
        </w:rPr>
        <w:t xml:space="preserve"> size</w:t>
      </w:r>
      <w:r w:rsidR="00B270CB" w:rsidRPr="00306F9C">
        <w:rPr>
          <w:noProof/>
          <w:sz w:val="24"/>
          <w:szCs w:val="24"/>
        </w:rPr>
        <w:t>)</w:t>
      </w:r>
    </w:p>
    <w:p w:rsidR="00D939BF" w:rsidRPr="00306F9C" w:rsidRDefault="00D939BF" w:rsidP="00123DE3">
      <w:r w:rsidRPr="00306F9C">
        <w:rPr>
          <w:noProof/>
          <w:lang w:eastAsia="en-GB"/>
        </w:rPr>
        <w:drawing>
          <wp:inline distT="0" distB="0" distL="0" distR="0" wp14:anchorId="5A71B9ED" wp14:editId="57F6AF69">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385B" w:rsidRPr="00306F9C" w:rsidRDefault="00AB385B"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w:t>
      </w:r>
    </w:p>
    <w:p w:rsidR="00643FC9" w:rsidRPr="00306F9C" w:rsidRDefault="00EB6123" w:rsidP="00123DE3">
      <w:pPr>
        <w:rPr>
          <w:i/>
          <w:lang w:eastAsia="en-GB"/>
        </w:rPr>
      </w:pPr>
      <w:r w:rsidRPr="00306F9C">
        <w:rPr>
          <w:i/>
          <w:lang w:eastAsia="en-GB"/>
        </w:rPr>
        <w:t xml:space="preserve">* In Greece there are fewer than 20 observations in the sample of people aged 18-24 who declare impairment/limitation. These data cannot be shown. There are also fewer than 50 observations in the sample of people aged 18-29 who declare impairment/limitation. These data should be treated with caution.  </w:t>
      </w:r>
    </w:p>
    <w:p w:rsidR="00643FC9" w:rsidRPr="00306F9C" w:rsidRDefault="00643FC9" w:rsidP="00123DE3">
      <w:pPr>
        <w:rPr>
          <w:lang w:eastAsia="en-GB"/>
        </w:rPr>
      </w:pPr>
    </w:p>
    <w:p w:rsidR="00AC1131" w:rsidRPr="00306F9C" w:rsidRDefault="00AC1131" w:rsidP="00123DE3">
      <w:pPr>
        <w:pStyle w:val="Un-numberedsubheading"/>
        <w:spacing w:after="0"/>
      </w:pPr>
      <w:r w:rsidRPr="00306F9C">
        <w:t xml:space="preserve">Alternative data on disability and early school leavers </w:t>
      </w:r>
      <w:r w:rsidR="00803568" w:rsidRPr="00306F9C">
        <w:t>provided by the national expert</w:t>
      </w:r>
      <w:r w:rsidRPr="00306F9C">
        <w:t>:</w:t>
      </w:r>
    </w:p>
    <w:p w:rsidR="00ED4CF4" w:rsidRPr="00306F9C" w:rsidRDefault="00ED4CF4" w:rsidP="00123DE3"/>
    <w:p w:rsidR="00306F9C" w:rsidRDefault="008F02BC" w:rsidP="00123DE3">
      <w:r w:rsidRPr="00306F9C">
        <w:t>Latest available administrative data</w:t>
      </w:r>
      <w:r w:rsidR="009D1D22" w:rsidRPr="00306F9C">
        <w:rPr>
          <w:rStyle w:val="FootnoteReference"/>
        </w:rPr>
        <w:footnoteReference w:id="7"/>
      </w:r>
      <w:r w:rsidRPr="00306F9C">
        <w:t xml:space="preserve"> concerning the number of pupils with disabilities in mainstream and special education units at primary and secondary levels of education</w:t>
      </w:r>
      <w:r w:rsidR="00DA1689" w:rsidRPr="00306F9C">
        <w:t>, as well as graduates,</w:t>
      </w:r>
      <w:r w:rsidRPr="00306F9C">
        <w:t xml:space="preserve"> was included in the European Semester 2014, for </w:t>
      </w:r>
      <w:r w:rsidRPr="00306F9C">
        <w:lastRenderedPageBreak/>
        <w:t>the school year 2012-2013</w:t>
      </w:r>
      <w:r w:rsidR="003A78E1" w:rsidRPr="00306F9C">
        <w:rPr>
          <w:rStyle w:val="FootnoteReference"/>
        </w:rPr>
        <w:footnoteReference w:id="8"/>
      </w:r>
      <w:r w:rsidRPr="00306F9C">
        <w:t>. Data for the following school year (end of 2014) will be published by the Nat</w:t>
      </w:r>
      <w:r w:rsidR="005B784E" w:rsidRPr="00306F9C">
        <w:t>ional Statistical Service in</w:t>
      </w:r>
      <w:r w:rsidRPr="00306F9C">
        <w:t xml:space="preserve"> November 2015. </w:t>
      </w:r>
    </w:p>
    <w:p w:rsidR="00306F9C" w:rsidRDefault="00306F9C" w:rsidP="00123DE3"/>
    <w:p w:rsidR="00561FF5" w:rsidRPr="00306F9C" w:rsidRDefault="00561FF5" w:rsidP="00123DE3">
      <w:pPr>
        <w:pStyle w:val="Heading3"/>
      </w:pPr>
      <w:bookmarkStart w:id="18" w:name="_Toc429999640"/>
      <w:bookmarkStart w:id="19" w:name="_Toc453842115"/>
      <w:r w:rsidRPr="00306F9C">
        <w:t>Tertiary education</w:t>
      </w:r>
      <w:bookmarkEnd w:id="18"/>
      <w:bookmarkEnd w:id="19"/>
    </w:p>
    <w:p w:rsidR="00306F9C" w:rsidRDefault="00306F9C" w:rsidP="00123DE3">
      <w:pPr>
        <w:pStyle w:val="BodyText"/>
        <w:spacing w:after="0"/>
      </w:pPr>
    </w:p>
    <w:p w:rsidR="00B270CB" w:rsidRDefault="00561FF5" w:rsidP="00123DE3">
      <w:pPr>
        <w:pStyle w:val="BodyText"/>
        <w:spacing w:after="0"/>
      </w:pPr>
      <w:r w:rsidRPr="00306F9C">
        <w:t xml:space="preserve">The </w:t>
      </w:r>
      <w:r w:rsidR="00B270CB" w:rsidRPr="00306F9C">
        <w:t>EU-SILC sample for the target age group (aged 30-34) includes the following number of people reporting activity ‘limitation’ (a proxy for impairment/disability)</w:t>
      </w:r>
      <w:r w:rsidR="004022FB" w:rsidRPr="00306F9C">
        <w:t xml:space="preserve"> although the number of missing observations is larger than the number of observations for activity limitation.</w:t>
      </w:r>
    </w:p>
    <w:p w:rsidR="00306F9C" w:rsidRPr="00306F9C" w:rsidRDefault="00306F9C" w:rsidP="00123DE3">
      <w:pPr>
        <w:pStyle w:val="BodyText"/>
        <w:spacing w:after="0"/>
      </w:pPr>
    </w:p>
    <w:p w:rsidR="00B270CB" w:rsidRPr="00306F9C" w:rsidRDefault="00B270CB"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14</w:t>
      </w:r>
      <w:r w:rsidR="00AF69A0" w:rsidRPr="00306F9C">
        <w:rPr>
          <w:noProof/>
          <w:sz w:val="24"/>
          <w:szCs w:val="24"/>
        </w:rPr>
        <w:fldChar w:fldCharType="end"/>
      </w:r>
      <w:r w:rsidRPr="00306F9C">
        <w:rPr>
          <w:sz w:val="24"/>
          <w:szCs w:val="24"/>
        </w:rPr>
        <w:t xml:space="preserve">: EU-SILC sample size for the target age group </w:t>
      </w:r>
      <w:r w:rsidR="00EA166E" w:rsidRPr="00306F9C">
        <w:rPr>
          <w:sz w:val="24"/>
          <w:szCs w:val="24"/>
        </w:rPr>
        <w:t>30-34</w:t>
      </w:r>
      <w:r w:rsidR="004022FB" w:rsidRPr="00306F9C">
        <w:rPr>
          <w:sz w:val="24"/>
          <w:szCs w:val="24"/>
        </w:rPr>
        <w:t xml:space="preserve"> versus 30-39</w:t>
      </w:r>
    </w:p>
    <w:tbl>
      <w:tblPr>
        <w:tblStyle w:val="TableGrid"/>
        <w:tblW w:w="0" w:type="auto"/>
        <w:tblLook w:val="04A0" w:firstRow="1" w:lastRow="0" w:firstColumn="1" w:lastColumn="0" w:noHBand="0" w:noVBand="1"/>
      </w:tblPr>
      <w:tblGrid>
        <w:gridCol w:w="1598"/>
        <w:gridCol w:w="1969"/>
        <w:gridCol w:w="1762"/>
        <w:gridCol w:w="1969"/>
        <w:gridCol w:w="1762"/>
      </w:tblGrid>
      <w:tr w:rsidR="00AB385B" w:rsidRPr="00306F9C" w:rsidTr="00E024C9">
        <w:tc>
          <w:tcPr>
            <w:tcW w:w="0" w:type="auto"/>
          </w:tcPr>
          <w:p w:rsidR="00AB385B" w:rsidRPr="00306F9C" w:rsidRDefault="00AB385B" w:rsidP="00123DE3"/>
        </w:tc>
        <w:tc>
          <w:tcPr>
            <w:tcW w:w="0" w:type="auto"/>
            <w:gridSpan w:val="2"/>
          </w:tcPr>
          <w:p w:rsidR="00AB385B" w:rsidRPr="00306F9C" w:rsidRDefault="00AB385B" w:rsidP="00123DE3">
            <w:r w:rsidRPr="00306F9C">
              <w:t>Age 30-34</w:t>
            </w:r>
          </w:p>
        </w:tc>
        <w:tc>
          <w:tcPr>
            <w:tcW w:w="0" w:type="auto"/>
            <w:gridSpan w:val="2"/>
          </w:tcPr>
          <w:p w:rsidR="00AB385B" w:rsidRPr="00306F9C" w:rsidRDefault="00AB385B" w:rsidP="00123DE3">
            <w:r w:rsidRPr="00306F9C">
              <w:t>Age 30-39</w:t>
            </w:r>
          </w:p>
        </w:tc>
      </w:tr>
      <w:tr w:rsidR="00AB385B" w:rsidRPr="00306F9C" w:rsidTr="00E024C9">
        <w:tc>
          <w:tcPr>
            <w:tcW w:w="0" w:type="auto"/>
          </w:tcPr>
          <w:p w:rsidR="00AB385B" w:rsidRPr="00306F9C" w:rsidRDefault="00AB385B" w:rsidP="00123DE3"/>
        </w:tc>
        <w:tc>
          <w:tcPr>
            <w:tcW w:w="0" w:type="auto"/>
          </w:tcPr>
          <w:p w:rsidR="00AB385B" w:rsidRPr="00306F9C" w:rsidRDefault="00AB385B" w:rsidP="00123DE3">
            <w:r w:rsidRPr="00306F9C">
              <w:t>No activity ‘limitation’</w:t>
            </w:r>
          </w:p>
        </w:tc>
        <w:tc>
          <w:tcPr>
            <w:tcW w:w="0" w:type="auto"/>
          </w:tcPr>
          <w:p w:rsidR="00AB385B" w:rsidRPr="00306F9C" w:rsidRDefault="00AB385B" w:rsidP="00123DE3">
            <w:r w:rsidRPr="00306F9C">
              <w:t>Activity ‘limitation’</w:t>
            </w:r>
          </w:p>
        </w:tc>
        <w:tc>
          <w:tcPr>
            <w:tcW w:w="0" w:type="auto"/>
          </w:tcPr>
          <w:p w:rsidR="00AB385B" w:rsidRPr="00306F9C" w:rsidRDefault="00AB385B" w:rsidP="00123DE3">
            <w:r w:rsidRPr="00306F9C">
              <w:t>No activity ‘limitation’</w:t>
            </w:r>
          </w:p>
        </w:tc>
        <w:tc>
          <w:tcPr>
            <w:tcW w:w="0" w:type="auto"/>
          </w:tcPr>
          <w:p w:rsidR="00AB385B" w:rsidRPr="00306F9C" w:rsidRDefault="00AB385B" w:rsidP="00123DE3">
            <w:r w:rsidRPr="00306F9C">
              <w:t>Activity ‘limitation’</w:t>
            </w:r>
          </w:p>
        </w:tc>
      </w:tr>
      <w:tr w:rsidR="004022FB" w:rsidRPr="00306F9C" w:rsidTr="00E024C9">
        <w:tc>
          <w:tcPr>
            <w:tcW w:w="0" w:type="auto"/>
          </w:tcPr>
          <w:p w:rsidR="004022FB" w:rsidRPr="00306F9C" w:rsidRDefault="004022FB" w:rsidP="00123DE3">
            <w:r w:rsidRPr="00306F9C">
              <w:t>EU sample</w:t>
            </w:r>
          </w:p>
        </w:tc>
        <w:tc>
          <w:tcPr>
            <w:tcW w:w="0" w:type="auto"/>
          </w:tcPr>
          <w:p w:rsidR="004022FB" w:rsidRPr="00306F9C" w:rsidRDefault="004022FB" w:rsidP="00123DE3">
            <w:r w:rsidRPr="00306F9C">
              <w:t>23,851</w:t>
            </w:r>
          </w:p>
        </w:tc>
        <w:tc>
          <w:tcPr>
            <w:tcW w:w="0" w:type="auto"/>
          </w:tcPr>
          <w:p w:rsidR="004022FB" w:rsidRPr="00306F9C" w:rsidRDefault="004022FB" w:rsidP="00123DE3">
            <w:r w:rsidRPr="00306F9C">
              <w:t>2,866</w:t>
            </w:r>
          </w:p>
        </w:tc>
        <w:tc>
          <w:tcPr>
            <w:tcW w:w="0" w:type="auto"/>
          </w:tcPr>
          <w:p w:rsidR="004022FB" w:rsidRPr="00306F9C" w:rsidRDefault="004022FB" w:rsidP="00123DE3">
            <w:r w:rsidRPr="00306F9C">
              <w:t>50,496</w:t>
            </w:r>
          </w:p>
        </w:tc>
        <w:tc>
          <w:tcPr>
            <w:tcW w:w="0" w:type="auto"/>
          </w:tcPr>
          <w:p w:rsidR="004022FB" w:rsidRPr="00306F9C" w:rsidRDefault="004022FB" w:rsidP="00123DE3">
            <w:r w:rsidRPr="00306F9C">
              <w:t>6,732</w:t>
            </w:r>
          </w:p>
        </w:tc>
      </w:tr>
      <w:tr w:rsidR="00AB385B" w:rsidRPr="00306F9C" w:rsidTr="00E024C9">
        <w:tc>
          <w:tcPr>
            <w:tcW w:w="0" w:type="auto"/>
          </w:tcPr>
          <w:p w:rsidR="00AB385B" w:rsidRPr="00306F9C" w:rsidRDefault="00AB385B" w:rsidP="00123DE3">
            <w:r w:rsidRPr="00306F9C">
              <w:t>National sample</w:t>
            </w:r>
          </w:p>
        </w:tc>
        <w:tc>
          <w:tcPr>
            <w:tcW w:w="0" w:type="auto"/>
          </w:tcPr>
          <w:p w:rsidR="00AB385B" w:rsidRPr="00306F9C" w:rsidRDefault="00497983" w:rsidP="00123DE3">
            <w:r w:rsidRPr="00306F9C">
              <w:t>1,016</w:t>
            </w:r>
          </w:p>
        </w:tc>
        <w:tc>
          <w:tcPr>
            <w:tcW w:w="0" w:type="auto"/>
          </w:tcPr>
          <w:p w:rsidR="00AB385B" w:rsidRPr="00306F9C" w:rsidRDefault="00497983" w:rsidP="00123DE3">
            <w:r w:rsidRPr="00306F9C">
              <w:t>38*</w:t>
            </w:r>
          </w:p>
        </w:tc>
        <w:tc>
          <w:tcPr>
            <w:tcW w:w="0" w:type="auto"/>
          </w:tcPr>
          <w:p w:rsidR="00AB385B" w:rsidRPr="00306F9C" w:rsidRDefault="00497983" w:rsidP="00123DE3">
            <w:r w:rsidRPr="00306F9C">
              <w:t>2,088</w:t>
            </w:r>
          </w:p>
        </w:tc>
        <w:tc>
          <w:tcPr>
            <w:tcW w:w="0" w:type="auto"/>
          </w:tcPr>
          <w:p w:rsidR="00AB385B" w:rsidRPr="00306F9C" w:rsidRDefault="00497983" w:rsidP="00123DE3">
            <w:r w:rsidRPr="00306F9C">
              <w:t>96</w:t>
            </w:r>
          </w:p>
        </w:tc>
      </w:tr>
    </w:tbl>
    <w:p w:rsidR="004022FB" w:rsidRPr="00306F9C" w:rsidRDefault="004022FB"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w:t>
      </w:r>
    </w:p>
    <w:p w:rsidR="00A654C0" w:rsidRPr="00306F9C" w:rsidRDefault="00A654C0" w:rsidP="00123DE3">
      <w:pPr>
        <w:rPr>
          <w:lang w:eastAsia="en-GB"/>
        </w:rPr>
      </w:pPr>
    </w:p>
    <w:p w:rsidR="00EA166E" w:rsidRPr="00306F9C" w:rsidRDefault="00EA166E"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15</w:t>
      </w:r>
      <w:r w:rsidR="00AF69A0" w:rsidRPr="00306F9C">
        <w:rPr>
          <w:noProof/>
          <w:sz w:val="24"/>
          <w:szCs w:val="24"/>
        </w:rPr>
        <w:fldChar w:fldCharType="end"/>
      </w:r>
      <w:r w:rsidRPr="00306F9C">
        <w:rPr>
          <w:sz w:val="24"/>
          <w:szCs w:val="24"/>
        </w:rPr>
        <w:t xml:space="preserve">: </w:t>
      </w:r>
      <w:r w:rsidRPr="00306F9C">
        <w:rPr>
          <w:noProof/>
          <w:sz w:val="24"/>
          <w:szCs w:val="24"/>
        </w:rPr>
        <w:t>Completion of tertiary or equivalent education (indicative based on above sample)</w:t>
      </w:r>
    </w:p>
    <w:p w:rsidR="00EA166E" w:rsidRPr="00306F9C" w:rsidRDefault="00EA166E" w:rsidP="00123DE3">
      <w:r w:rsidRPr="00306F9C">
        <w:rPr>
          <w:noProof/>
          <w:lang w:eastAsia="en-GB"/>
        </w:rPr>
        <w:drawing>
          <wp:inline distT="0" distB="0" distL="0" distR="0" wp14:anchorId="2DB42D2E" wp14:editId="743615F9">
            <wp:extent cx="5486400" cy="236405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5537" w:rsidRPr="00306F9C" w:rsidRDefault="00CE5537"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643FC9" w:rsidRPr="00306F9C" w:rsidRDefault="00643FC9" w:rsidP="00123DE3">
      <w:pPr>
        <w:rPr>
          <w:i/>
          <w:lang w:eastAsia="en-GB"/>
        </w:rPr>
      </w:pPr>
      <w:r w:rsidRPr="00306F9C">
        <w:rPr>
          <w:i/>
          <w:lang w:eastAsia="en-GB"/>
        </w:rPr>
        <w:t xml:space="preserve">* </w:t>
      </w:r>
      <w:r w:rsidR="00497983" w:rsidRPr="00306F9C">
        <w:rPr>
          <w:i/>
          <w:lang w:eastAsia="en-GB"/>
        </w:rPr>
        <w:t>In</w:t>
      </w:r>
      <w:r w:rsidRPr="00306F9C">
        <w:rPr>
          <w:i/>
          <w:lang w:eastAsia="en-GB"/>
        </w:rPr>
        <w:t xml:space="preserve"> Greece there are fewer than 50 </w:t>
      </w:r>
      <w:r w:rsidR="00EB6123" w:rsidRPr="00306F9C">
        <w:rPr>
          <w:i/>
          <w:lang w:eastAsia="en-GB"/>
        </w:rPr>
        <w:t>observations</w:t>
      </w:r>
      <w:r w:rsidRPr="00306F9C">
        <w:rPr>
          <w:i/>
          <w:lang w:eastAsia="en-GB"/>
        </w:rPr>
        <w:t xml:space="preserve"> in the sample of people aged 30-34 who declare impairment/limitation. These data should be treated with caution. </w:t>
      </w:r>
    </w:p>
    <w:p w:rsidR="00643FC9" w:rsidRPr="00306F9C" w:rsidRDefault="00643FC9" w:rsidP="00123DE3">
      <w:pPr>
        <w:pStyle w:val="BodyText"/>
        <w:spacing w:after="0"/>
      </w:pPr>
    </w:p>
    <w:p w:rsidR="00AC4EA1" w:rsidRDefault="003A26EF" w:rsidP="00123DE3">
      <w:pPr>
        <w:pStyle w:val="BodyText"/>
        <w:spacing w:after="0"/>
      </w:pPr>
      <w:r w:rsidRPr="00306F9C">
        <w:lastRenderedPageBreak/>
        <w:t xml:space="preserve">The </w:t>
      </w:r>
      <w:r w:rsidR="00C3685D" w:rsidRPr="00306F9C">
        <w:t xml:space="preserve">survey </w:t>
      </w:r>
      <w:r w:rsidRPr="00306F9C">
        <w:t xml:space="preserve">sample is not sufficient to provide robust trend data disaggregated by gender </w:t>
      </w:r>
      <w:r w:rsidR="008341F2" w:rsidRPr="00306F9C">
        <w:t>in</w:t>
      </w:r>
      <w:r w:rsidRPr="00306F9C">
        <w:t xml:space="preserve"> the </w:t>
      </w:r>
      <w:r w:rsidR="008341F2" w:rsidRPr="00306F9C">
        <w:t xml:space="preserve">narrow </w:t>
      </w:r>
      <w:r w:rsidR="00AC4EA1" w:rsidRPr="00306F9C">
        <w:t xml:space="preserve">EU2020 </w:t>
      </w:r>
      <w:r w:rsidRPr="00306F9C">
        <w:t xml:space="preserve">target age group. </w:t>
      </w:r>
      <w:r w:rsidR="00AC4EA1" w:rsidRPr="00306F9C">
        <w:t xml:space="preserve">In only 11 out of 28 Member States are there more than 50 observations in the sample for both women and </w:t>
      </w:r>
      <w:r w:rsidR="008341F2" w:rsidRPr="00306F9C">
        <w:t xml:space="preserve">for </w:t>
      </w:r>
      <w:r w:rsidR="00AC4EA1" w:rsidRPr="00306F9C">
        <w:t xml:space="preserve">men in </w:t>
      </w:r>
      <w:r w:rsidR="008341F2" w:rsidRPr="00306F9C">
        <w:t>aged</w:t>
      </w:r>
      <w:r w:rsidR="00AC4EA1" w:rsidRPr="00306F9C">
        <w:t xml:space="preserve"> 30-34 who also declare impairment/limitation. In Greece there are fewer than 20 ob</w:t>
      </w:r>
      <w:r w:rsidR="00497983" w:rsidRPr="00306F9C">
        <w:t>servations for women and for men</w:t>
      </w:r>
      <w:r w:rsidR="00AC4EA1" w:rsidRPr="00306F9C">
        <w:t>.</w:t>
      </w:r>
    </w:p>
    <w:p w:rsidR="00D304E4" w:rsidRPr="00306F9C" w:rsidRDefault="00D304E4" w:rsidP="00123DE3">
      <w:pPr>
        <w:pStyle w:val="BodyText"/>
        <w:spacing w:after="0"/>
      </w:pPr>
    </w:p>
    <w:p w:rsidR="003A26EF" w:rsidRDefault="003A26EF" w:rsidP="00123DE3">
      <w:pPr>
        <w:pStyle w:val="BodyText"/>
        <w:spacing w:after="0"/>
      </w:pPr>
      <w:r w:rsidRPr="00306F9C">
        <w:t xml:space="preserve">The following table is indicative </w:t>
      </w:r>
      <w:r w:rsidR="00AC4EA1" w:rsidRPr="00306F9C">
        <w:t>at</w:t>
      </w:r>
      <w:r w:rsidR="0005498D" w:rsidRPr="00306F9C">
        <w:t xml:space="preserve"> the </w:t>
      </w:r>
      <w:r w:rsidR="00AC4EA1" w:rsidRPr="00306F9C">
        <w:t>EU</w:t>
      </w:r>
      <w:r w:rsidR="0005498D" w:rsidRPr="00306F9C">
        <w:t xml:space="preserve"> level </w:t>
      </w:r>
      <w:r w:rsidR="00AC4EA1" w:rsidRPr="00306F9C">
        <w:t>but</w:t>
      </w:r>
      <w:r w:rsidR="0005498D" w:rsidRPr="00306F9C">
        <w:t xml:space="preserve"> </w:t>
      </w:r>
      <w:r w:rsidR="00AC4EA1" w:rsidRPr="00306F9C">
        <w:t xml:space="preserve">gender trends at the national level </w:t>
      </w:r>
      <w:r w:rsidR="0005498D" w:rsidRPr="00306F9C">
        <w:t xml:space="preserve">should be </w:t>
      </w:r>
      <w:r w:rsidR="005D3ECF" w:rsidRPr="00306F9C">
        <w:t>treated</w:t>
      </w:r>
      <w:r w:rsidR="0005498D" w:rsidRPr="00306F9C">
        <w:t xml:space="preserve"> with caution</w:t>
      </w:r>
      <w:r w:rsidR="00AC4EA1" w:rsidRPr="00306F9C">
        <w:t xml:space="preserve">. In all Member States </w:t>
      </w:r>
      <w:r w:rsidR="005D3ECF" w:rsidRPr="00306F9C">
        <w:t xml:space="preserve">except Austria </w:t>
      </w:r>
      <w:r w:rsidR="00AC4EA1" w:rsidRPr="00306F9C">
        <w:t xml:space="preserve">the achievement of tertiary education was </w:t>
      </w:r>
      <w:r w:rsidR="005D3ECF" w:rsidRPr="00306F9C">
        <w:t>higher</w:t>
      </w:r>
      <w:r w:rsidR="00AC4EA1" w:rsidRPr="00306F9C">
        <w:t xml:space="preserve"> for women than for men in </w:t>
      </w:r>
      <w:r w:rsidR="005D3ECF" w:rsidRPr="00306F9C">
        <w:t>both groups</w:t>
      </w:r>
      <w:r w:rsidR="00AC4EA1" w:rsidRPr="00306F9C">
        <w:t>.</w:t>
      </w:r>
    </w:p>
    <w:p w:rsidR="00D304E4" w:rsidRPr="00306F9C" w:rsidRDefault="00D304E4" w:rsidP="00123DE3">
      <w:pPr>
        <w:pStyle w:val="BodyText"/>
        <w:spacing w:after="0"/>
      </w:pPr>
    </w:p>
    <w:p w:rsidR="00623BA9" w:rsidRPr="00306F9C" w:rsidRDefault="00623BA9" w:rsidP="00123DE3">
      <w:pPr>
        <w:pStyle w:val="Caption"/>
        <w:keepNext/>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16</w:t>
      </w:r>
      <w:r w:rsidR="00AF69A0" w:rsidRPr="00306F9C">
        <w:rPr>
          <w:noProof/>
          <w:sz w:val="24"/>
          <w:szCs w:val="24"/>
        </w:rPr>
        <w:fldChar w:fldCharType="end"/>
      </w:r>
      <w:r w:rsidRPr="00306F9C">
        <w:rPr>
          <w:sz w:val="24"/>
          <w:szCs w:val="24"/>
        </w:rPr>
        <w:t>: Trends in tertiary education by disability (aged 30-3</w:t>
      </w:r>
      <w:r w:rsidR="00385532" w:rsidRPr="00306F9C">
        <w:rPr>
          <w:sz w:val="24"/>
          <w:szCs w:val="24"/>
        </w:rPr>
        <w:t>4</w:t>
      </w:r>
      <w:r w:rsidRPr="00306F9C">
        <w:rPr>
          <w:sz w:val="24"/>
          <w:szCs w:val="24"/>
        </w:rPr>
        <w:t>)</w:t>
      </w:r>
    </w:p>
    <w:p w:rsidR="00623BA9" w:rsidRPr="00306F9C" w:rsidRDefault="00623BA9" w:rsidP="00123DE3">
      <w:r w:rsidRPr="00306F9C">
        <w:rPr>
          <w:noProof/>
          <w:lang w:eastAsia="en-GB"/>
        </w:rPr>
        <w:drawing>
          <wp:inline distT="0" distB="0" distL="0" distR="0" wp14:anchorId="59F5F09C" wp14:editId="4B1C73F4">
            <wp:extent cx="5486400" cy="3980329"/>
            <wp:effectExtent l="0" t="0" r="1905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3BA9" w:rsidRPr="00306F9C" w:rsidRDefault="00623BA9"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 (and preceding UDBs)</w:t>
      </w:r>
    </w:p>
    <w:p w:rsidR="00726700" w:rsidRDefault="00EB6123" w:rsidP="00D304E4">
      <w:pPr>
        <w:rPr>
          <w:i/>
        </w:rPr>
      </w:pPr>
      <w:r w:rsidRPr="00306F9C">
        <w:rPr>
          <w:i/>
        </w:rPr>
        <w:t>See previous table notes. Fluctuations in the trend for people with impairments at national level should be treated with caution. An indicative 6-year trend line is shown for illustration but cannot be considered reliable on the basis of the Greek data.</w:t>
      </w:r>
    </w:p>
    <w:p w:rsidR="00D304E4" w:rsidRPr="00306F9C" w:rsidRDefault="00D304E4" w:rsidP="00D304E4">
      <w:pPr>
        <w:rPr>
          <w:i/>
        </w:rPr>
      </w:pPr>
    </w:p>
    <w:p w:rsidR="00D939BF" w:rsidRDefault="00D939BF" w:rsidP="00123DE3">
      <w:pPr>
        <w:pStyle w:val="Un-numberedsubheading"/>
        <w:spacing w:after="0"/>
      </w:pPr>
      <w:r w:rsidRPr="00306F9C">
        <w:t xml:space="preserve">Alternative </w:t>
      </w:r>
      <w:r w:rsidR="00CC6322" w:rsidRPr="00306F9C">
        <w:t xml:space="preserve">data on disability and </w:t>
      </w:r>
      <w:r w:rsidR="009E4D16" w:rsidRPr="00306F9C">
        <w:t xml:space="preserve">tertiary education </w:t>
      </w:r>
      <w:r w:rsidR="00803568" w:rsidRPr="00306F9C">
        <w:t>provided by the national expert</w:t>
      </w:r>
      <w:r w:rsidRPr="00306F9C">
        <w:t>:</w:t>
      </w:r>
    </w:p>
    <w:p w:rsidR="00D304E4" w:rsidRPr="00306F9C" w:rsidRDefault="00D304E4" w:rsidP="00123DE3">
      <w:pPr>
        <w:pStyle w:val="Un-numberedsubheading"/>
        <w:spacing w:after="0"/>
      </w:pPr>
    </w:p>
    <w:p w:rsidR="00B82D22" w:rsidRPr="00306F9C" w:rsidRDefault="000B1AC2" w:rsidP="00123DE3">
      <w:r w:rsidRPr="00306F9C">
        <w:t>Latest a</w:t>
      </w:r>
      <w:r w:rsidR="00E35F13" w:rsidRPr="00306F9C">
        <w:t xml:space="preserve">dministrative data available </w:t>
      </w:r>
      <w:r w:rsidRPr="00306F9C">
        <w:t xml:space="preserve">exists </w:t>
      </w:r>
      <w:r w:rsidR="00E35F13" w:rsidRPr="00306F9C">
        <w:t>for the academic year 2014-2015 for pupils with serious conditions,</w:t>
      </w:r>
      <w:r w:rsidR="00E35F13" w:rsidRPr="00306F9C">
        <w:rPr>
          <w:rStyle w:val="FootnoteReference"/>
        </w:rPr>
        <w:footnoteReference w:id="9"/>
      </w:r>
      <w:r w:rsidR="00E35F13" w:rsidRPr="00306F9C">
        <w:t xml:space="preserve"> who </w:t>
      </w:r>
      <w:r w:rsidRPr="00306F9C">
        <w:t>e</w:t>
      </w:r>
      <w:r w:rsidR="00E35F13" w:rsidRPr="00306F9C">
        <w:t>nter</w:t>
      </w:r>
      <w:r w:rsidRPr="00306F9C">
        <w:t>ed</w:t>
      </w:r>
      <w:r w:rsidR="00E35F13" w:rsidRPr="00306F9C">
        <w:t xml:space="preserve"> tertiary education according to the provisions of L.3794/2009,</w:t>
      </w:r>
      <w:r w:rsidR="00E35F13" w:rsidRPr="00306F9C">
        <w:rPr>
          <w:rStyle w:val="FootnoteReference"/>
        </w:rPr>
        <w:footnoteReference w:id="10"/>
      </w:r>
      <w:r w:rsidR="00E35F13" w:rsidRPr="00306F9C">
        <w:t xml:space="preserve"> reaching 1264 in total.</w:t>
      </w:r>
      <w:r w:rsidRPr="00306F9C">
        <w:t xml:space="preserve"> </w:t>
      </w:r>
    </w:p>
    <w:p w:rsidR="00B82D22" w:rsidRPr="00306F9C" w:rsidRDefault="00B82D22" w:rsidP="00123DE3"/>
    <w:p w:rsidR="00CB300A" w:rsidRPr="00306F9C" w:rsidRDefault="001D4FB5" w:rsidP="00123DE3">
      <w:r w:rsidRPr="00306F9C">
        <w:t xml:space="preserve">Overall, </w:t>
      </w:r>
      <w:r w:rsidR="000B1AC2" w:rsidRPr="00306F9C">
        <w:t>46735 students succeeded in entering university</w:t>
      </w:r>
      <w:r w:rsidR="00B82D22" w:rsidRPr="00306F9C">
        <w:t xml:space="preserve"> through the national examination</w:t>
      </w:r>
      <w:r w:rsidR="00DA29B9" w:rsidRPr="00306F9C">
        <w:t xml:space="preserve"> process</w:t>
      </w:r>
      <w:r w:rsidR="000B1AC2" w:rsidRPr="00306F9C">
        <w:t xml:space="preserve"> that same school year</w:t>
      </w:r>
      <w:r w:rsidR="00D304E4">
        <w:t>.</w:t>
      </w:r>
      <w:r w:rsidR="000B1AC2" w:rsidRPr="00306F9C">
        <w:rPr>
          <w:rStyle w:val="FootnoteReference"/>
        </w:rPr>
        <w:footnoteReference w:id="11"/>
      </w:r>
      <w:r w:rsidR="000B1AC2" w:rsidRPr="00306F9C">
        <w:t xml:space="preserve"> Note that the quota scheme would</w:t>
      </w:r>
      <w:r w:rsidR="00B82D22" w:rsidRPr="00306F9C">
        <w:t xml:space="preserve"> have</w:t>
      </w:r>
      <w:r w:rsidR="000B1AC2" w:rsidRPr="00306F9C">
        <w:t xml:space="preserve"> allow</w:t>
      </w:r>
      <w:r w:rsidR="00B82D22" w:rsidRPr="00306F9C">
        <w:t>ed</w:t>
      </w:r>
      <w:r w:rsidR="00A61ADF" w:rsidRPr="00306F9C">
        <w:t xml:space="preserve"> around 230</w:t>
      </w:r>
      <w:r w:rsidR="000B1AC2" w:rsidRPr="00306F9C">
        <w:t>0 students with disability to enter university (</w:t>
      </w:r>
      <w:r w:rsidR="00B82D22" w:rsidRPr="00306F9C">
        <w:t xml:space="preserve">i.e. </w:t>
      </w:r>
      <w:r w:rsidR="000B1AC2" w:rsidRPr="00306F9C">
        <w:t xml:space="preserve">quota not filled). </w:t>
      </w:r>
      <w:r w:rsidR="00CB300A" w:rsidRPr="00306F9C">
        <w:t xml:space="preserve">Please note that latest data for the school year 2015-2016 </w:t>
      </w:r>
      <w:r w:rsidRPr="00306F9C">
        <w:t xml:space="preserve">are </w:t>
      </w:r>
      <w:r w:rsidR="00CB300A" w:rsidRPr="00306F9C">
        <w:t>not yet available as applications of candidates with disabilities are now being processed</w:t>
      </w:r>
      <w:r w:rsidR="00D304E4">
        <w:t>.</w:t>
      </w:r>
      <w:r w:rsidR="00CB300A" w:rsidRPr="00306F9C">
        <w:rPr>
          <w:rStyle w:val="FootnoteReference"/>
        </w:rPr>
        <w:footnoteReference w:id="12"/>
      </w:r>
      <w:r w:rsidR="00CB300A" w:rsidRPr="00306F9C">
        <w:t xml:space="preserve"> </w:t>
      </w:r>
    </w:p>
    <w:p w:rsidR="00CB300A" w:rsidRPr="00306F9C" w:rsidRDefault="00CB300A" w:rsidP="00123DE3"/>
    <w:p w:rsidR="000B1AC2" w:rsidRPr="00306F9C" w:rsidRDefault="00B82D22" w:rsidP="00123DE3">
      <w:r w:rsidRPr="00306F9C">
        <w:t xml:space="preserve">No further data is available with regards to the number of students </w:t>
      </w:r>
      <w:r w:rsidR="00CB300A" w:rsidRPr="00306F9C">
        <w:t>attending</w:t>
      </w:r>
      <w:r w:rsidR="00C040C9" w:rsidRPr="00306F9C">
        <w:t xml:space="preserve"> or completing</w:t>
      </w:r>
      <w:r w:rsidRPr="00306F9C">
        <w:t xml:space="preserve"> tertiary education overall, which may also include students </w:t>
      </w:r>
      <w:r w:rsidR="000713FF" w:rsidRPr="00306F9C">
        <w:t xml:space="preserve">with disabilities </w:t>
      </w:r>
      <w:r w:rsidRPr="00306F9C">
        <w:t xml:space="preserve">who </w:t>
      </w:r>
      <w:r w:rsidR="00CB300A" w:rsidRPr="00306F9C">
        <w:t xml:space="preserve">would </w:t>
      </w:r>
      <w:r w:rsidRPr="00306F9C">
        <w:t xml:space="preserve">have entered through national examinations. </w:t>
      </w:r>
      <w:r w:rsidR="000B1AC2" w:rsidRPr="00306F9C">
        <w:t xml:space="preserve"> </w:t>
      </w:r>
      <w:r w:rsidR="000B1AC2" w:rsidRPr="00306F9C">
        <w:rPr>
          <w:rFonts w:eastAsia="Times New Roman"/>
          <w:lang w:val="en-US" w:eastAsia="el-GR"/>
        </w:rPr>
        <w:t xml:space="preserve"> </w:t>
      </w:r>
      <w:r w:rsidR="000B1AC2" w:rsidRPr="00306F9C">
        <w:t xml:space="preserve"> </w:t>
      </w:r>
      <w:r w:rsidR="00E35F13" w:rsidRPr="00306F9C">
        <w:t xml:space="preserve"> </w:t>
      </w:r>
    </w:p>
    <w:p w:rsidR="00336F8A" w:rsidRPr="00306F9C" w:rsidRDefault="00336F8A" w:rsidP="00123DE3">
      <w:pPr>
        <w:rPr>
          <w:rFonts w:eastAsia="Times New Roman"/>
          <w:lang w:eastAsia="el-GR"/>
        </w:rPr>
      </w:pPr>
    </w:p>
    <w:p w:rsidR="00EB54C7" w:rsidRPr="00306F9C" w:rsidRDefault="005C65DC" w:rsidP="00123DE3">
      <w:pPr>
        <w:pStyle w:val="Heading2"/>
        <w:rPr>
          <w:szCs w:val="24"/>
        </w:rPr>
      </w:pPr>
      <w:bookmarkStart w:id="20" w:name="_Toc429999641"/>
      <w:bookmarkStart w:id="21" w:name="_Toc453842116"/>
      <w:r w:rsidRPr="00306F9C">
        <w:rPr>
          <w:szCs w:val="24"/>
        </w:rPr>
        <w:t>Poverty</w:t>
      </w:r>
      <w:r w:rsidR="00D939BF" w:rsidRPr="00306F9C">
        <w:rPr>
          <w:szCs w:val="24"/>
        </w:rPr>
        <w:t xml:space="preserve"> and social exclusion data</w:t>
      </w:r>
      <w:bookmarkEnd w:id="20"/>
      <w:bookmarkEnd w:id="21"/>
    </w:p>
    <w:p w:rsidR="00D304E4" w:rsidRDefault="00D304E4" w:rsidP="00123DE3">
      <w:pPr>
        <w:pStyle w:val="BodyText"/>
        <w:spacing w:after="0"/>
      </w:pPr>
    </w:p>
    <w:p w:rsidR="00755A21" w:rsidRDefault="00CC6322" w:rsidP="00123DE3">
      <w:pPr>
        <w:pStyle w:val="BodyText"/>
        <w:spacing w:after="0"/>
      </w:pPr>
      <w:r w:rsidRPr="00306F9C">
        <w:t xml:space="preserve">EU SILC </w:t>
      </w:r>
      <w:r w:rsidR="00AB6D22" w:rsidRPr="00306F9C">
        <w:t xml:space="preserve">data </w:t>
      </w:r>
      <w:r w:rsidRPr="00306F9C">
        <w:t>provide</w:t>
      </w:r>
      <w:r w:rsidR="00A92183" w:rsidRPr="00306F9C">
        <w:t xml:space="preserve">s indicators of </w:t>
      </w:r>
      <w:r w:rsidRPr="00306F9C">
        <w:t>the key risks</w:t>
      </w:r>
      <w:r w:rsidR="00777783" w:rsidRPr="00306F9C">
        <w:t xml:space="preserve"> for people with disabilities</w:t>
      </w:r>
      <w:r w:rsidRPr="00306F9C">
        <w:t xml:space="preserve">. In addition to </w:t>
      </w:r>
      <w:r w:rsidR="00DE5D49" w:rsidRPr="00306F9C">
        <w:t xml:space="preserve">household </w:t>
      </w:r>
      <w:r w:rsidRPr="00306F9C">
        <w:t>risks of low work intensity</w:t>
      </w:r>
      <w:r w:rsidR="00DE5D49" w:rsidRPr="00306F9C">
        <w:t>,</w:t>
      </w:r>
      <w:r w:rsidRPr="00306F9C">
        <w:t xml:space="preserve"> there are risks of low income </w:t>
      </w:r>
      <w:r w:rsidR="00DE5D49" w:rsidRPr="00306F9C">
        <w:t xml:space="preserve">(after social transfers), </w:t>
      </w:r>
      <w:r w:rsidRPr="00306F9C">
        <w:t>and material deprivation.</w:t>
      </w:r>
      <w:r w:rsidR="00AB6D22" w:rsidRPr="00306F9C">
        <w:t xml:space="preserve"> </w:t>
      </w:r>
      <w:r w:rsidRPr="00306F9C">
        <w:t xml:space="preserve">These </w:t>
      </w:r>
      <w:r w:rsidR="00777783" w:rsidRPr="00306F9C">
        <w:t xml:space="preserve">three </w:t>
      </w:r>
      <w:r w:rsidRPr="00306F9C">
        <w:t xml:space="preserve">measures are combined in </w:t>
      </w:r>
      <w:r w:rsidR="00DE5D49" w:rsidRPr="00306F9C">
        <w:t>the</w:t>
      </w:r>
      <w:r w:rsidRPr="00306F9C">
        <w:t xml:space="preserve"> overall estimate of risk</w:t>
      </w:r>
      <w:r w:rsidR="00DE5D49" w:rsidRPr="00306F9C">
        <w:t xml:space="preserve">. The risks for older people do not include work intensity (Eurostat refers to the age group 0-59 for this measure). The survey does not distinguish ‘activity limitation’ (the proxy for impairment/disability) for children under the age of 16. Relevant </w:t>
      </w:r>
      <w:r w:rsidR="00CE5537" w:rsidRPr="00306F9C">
        <w:t>d</w:t>
      </w:r>
      <w:r w:rsidR="00B912FC" w:rsidRPr="00306F9C">
        <w:t xml:space="preserve">ata </w:t>
      </w:r>
      <w:r w:rsidR="00803568" w:rsidRPr="00306F9C">
        <w:t>provided by the national expert</w:t>
      </w:r>
      <w:r w:rsidR="00777783" w:rsidRPr="00306F9C">
        <w:t xml:space="preserve"> </w:t>
      </w:r>
      <w:r w:rsidR="00B912FC" w:rsidRPr="00306F9C">
        <w:t>is</w:t>
      </w:r>
      <w:r w:rsidR="00777783" w:rsidRPr="00306F9C">
        <w:t xml:space="preserve"> </w:t>
      </w:r>
      <w:r w:rsidR="00DE5D49" w:rsidRPr="00306F9C">
        <w:t>added</w:t>
      </w:r>
      <w:r w:rsidR="00777783" w:rsidRPr="00306F9C">
        <w:t xml:space="preserve"> where available.</w:t>
      </w:r>
    </w:p>
    <w:p w:rsidR="00D304E4" w:rsidRPr="00306F9C" w:rsidRDefault="00D304E4" w:rsidP="00123DE3">
      <w:pPr>
        <w:pStyle w:val="BodyText"/>
        <w:spacing w:after="0"/>
      </w:pPr>
    </w:p>
    <w:p w:rsidR="00D304E4" w:rsidRDefault="00D304E4">
      <w:pPr>
        <w:spacing w:after="200" w:line="276" w:lineRule="auto"/>
        <w:rPr>
          <w:b/>
          <w:bCs/>
        </w:rPr>
      </w:pPr>
      <w:r>
        <w:br w:type="page"/>
      </w:r>
    </w:p>
    <w:p w:rsidR="0098674F" w:rsidRPr="00306F9C" w:rsidRDefault="0098674F" w:rsidP="00123DE3">
      <w:pPr>
        <w:pStyle w:val="Caption"/>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17</w:t>
      </w:r>
      <w:r w:rsidR="00AF69A0" w:rsidRPr="00306F9C">
        <w:rPr>
          <w:noProof/>
          <w:sz w:val="24"/>
          <w:szCs w:val="24"/>
        </w:rPr>
        <w:fldChar w:fldCharType="end"/>
      </w:r>
      <w:r w:rsidRPr="00306F9C">
        <w:rPr>
          <w:sz w:val="24"/>
          <w:szCs w:val="24"/>
        </w:rPr>
        <w:t xml:space="preserve">: </w:t>
      </w:r>
      <w:r w:rsidR="00B912FC" w:rsidRPr="00306F9C">
        <w:rPr>
          <w:sz w:val="24"/>
          <w:szCs w:val="24"/>
        </w:rPr>
        <w:t>People living in</w:t>
      </w:r>
      <w:r w:rsidRPr="00306F9C">
        <w:rPr>
          <w:sz w:val="24"/>
          <w:szCs w:val="24"/>
        </w:rPr>
        <w:t xml:space="preserve"> household poverty and exclusion </w:t>
      </w:r>
      <w:r w:rsidR="00B912FC" w:rsidRPr="00306F9C">
        <w:rPr>
          <w:sz w:val="24"/>
          <w:szCs w:val="24"/>
        </w:rPr>
        <w:t xml:space="preserve">by </w:t>
      </w:r>
      <w:r w:rsidR="0056052E" w:rsidRPr="00306F9C">
        <w:rPr>
          <w:sz w:val="24"/>
          <w:szCs w:val="24"/>
        </w:rPr>
        <w:t xml:space="preserve">disability and </w:t>
      </w:r>
      <w:r w:rsidR="00B912FC" w:rsidRPr="00306F9C">
        <w:rPr>
          <w:sz w:val="24"/>
          <w:szCs w:val="24"/>
        </w:rPr>
        <w:t xml:space="preserve">risk </w:t>
      </w:r>
      <w:r w:rsidRPr="00306F9C">
        <w:rPr>
          <w:sz w:val="24"/>
          <w:szCs w:val="24"/>
        </w:rPr>
        <w:t>(</w:t>
      </w:r>
      <w:r w:rsidR="00B912FC" w:rsidRPr="00306F9C">
        <w:rPr>
          <w:sz w:val="24"/>
          <w:szCs w:val="24"/>
        </w:rPr>
        <w:t>aged 16-59</w:t>
      </w:r>
      <w:r w:rsidRPr="00306F9C">
        <w:rPr>
          <w:sz w:val="24"/>
          <w:szCs w:val="24"/>
        </w:rPr>
        <w:t>)</w:t>
      </w:r>
    </w:p>
    <w:p w:rsidR="00EB54C7" w:rsidRPr="00306F9C" w:rsidRDefault="0064269E" w:rsidP="00123DE3">
      <w:r w:rsidRPr="00306F9C">
        <w:rPr>
          <w:noProof/>
          <w:lang w:eastAsia="en-GB"/>
        </w:rPr>
        <w:drawing>
          <wp:inline distT="0" distB="0" distL="0" distR="0" wp14:anchorId="1D9924F8" wp14:editId="172C02F5">
            <wp:extent cx="5486400" cy="2590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6B30" w:rsidRPr="00306F9C" w:rsidRDefault="00A36B30"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9067CC" w:rsidRDefault="009067CC" w:rsidP="00123DE3">
      <w:pPr>
        <w:pStyle w:val="Sourcereference"/>
        <w:spacing w:after="0"/>
        <w:rPr>
          <w:sz w:val="24"/>
          <w:lang w:eastAsia="en-GB"/>
        </w:rPr>
      </w:pPr>
      <w:r w:rsidRPr="00306F9C">
        <w:rPr>
          <w:sz w:val="24"/>
          <w:lang w:eastAsia="en-GB"/>
        </w:rPr>
        <w:t xml:space="preserve">*The Greek data for </w:t>
      </w:r>
      <w:r w:rsidR="00EB6123" w:rsidRPr="00306F9C">
        <w:rPr>
          <w:b/>
          <w:bCs/>
          <w:sz w:val="24"/>
          <w:lang w:eastAsia="en-GB"/>
        </w:rPr>
        <w:t>relative</w:t>
      </w:r>
      <w:r w:rsidRPr="00306F9C">
        <w:rPr>
          <w:sz w:val="24"/>
          <w:lang w:eastAsia="en-GB"/>
        </w:rPr>
        <w:t xml:space="preserve"> financial poverty risk (below 60% median household income after social transfers) must be considered in context of the crisis and against a 2010 baseline of 40.2%</w:t>
      </w:r>
    </w:p>
    <w:p w:rsidR="00D304E4" w:rsidRPr="00306F9C" w:rsidRDefault="00D304E4" w:rsidP="00123DE3">
      <w:pPr>
        <w:pStyle w:val="Sourcereference"/>
        <w:spacing w:after="0"/>
        <w:rPr>
          <w:sz w:val="24"/>
          <w:lang w:eastAsia="en-GB"/>
        </w:rPr>
      </w:pPr>
    </w:p>
    <w:p w:rsidR="000E016C" w:rsidRPr="00306F9C" w:rsidRDefault="000E016C"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18</w:t>
      </w:r>
      <w:r w:rsidR="00AF69A0" w:rsidRPr="00306F9C">
        <w:rPr>
          <w:noProof/>
          <w:sz w:val="24"/>
          <w:szCs w:val="24"/>
        </w:rPr>
        <w:fldChar w:fldCharType="end"/>
      </w:r>
      <w:r w:rsidRPr="00306F9C">
        <w:rPr>
          <w:sz w:val="24"/>
          <w:szCs w:val="24"/>
        </w:rPr>
        <w:t xml:space="preserve">: People living in household poverty and exclusion by </w:t>
      </w:r>
      <w:r w:rsidR="0056052E" w:rsidRPr="00306F9C">
        <w:rPr>
          <w:sz w:val="24"/>
          <w:szCs w:val="24"/>
        </w:rPr>
        <w:t xml:space="preserve">disability and </w:t>
      </w:r>
      <w:r w:rsidRPr="00306F9C">
        <w:rPr>
          <w:sz w:val="24"/>
          <w:szCs w:val="24"/>
        </w:rPr>
        <w:t>gender (aged 16+)</w:t>
      </w:r>
    </w:p>
    <w:p w:rsidR="00680D45" w:rsidRPr="00306F9C" w:rsidRDefault="00680D45" w:rsidP="00123DE3">
      <w:r w:rsidRPr="00306F9C">
        <w:rPr>
          <w:noProof/>
          <w:lang w:eastAsia="en-GB"/>
        </w:rPr>
        <w:drawing>
          <wp:inline distT="0" distB="0" distL="0" distR="0" wp14:anchorId="0E7A21B6" wp14:editId="7E6BF923">
            <wp:extent cx="5581934" cy="2361062"/>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683E" w:rsidRPr="00306F9C" w:rsidRDefault="00C5683E" w:rsidP="00123DE3">
      <w:pPr>
        <w:pStyle w:val="Sourcereference"/>
        <w:spacing w:after="0"/>
        <w:rPr>
          <w:sz w:val="24"/>
          <w:lang w:eastAsia="en-GB"/>
        </w:rPr>
      </w:pPr>
      <w:r w:rsidRPr="00306F9C">
        <w:rPr>
          <w:sz w:val="24"/>
        </w:rPr>
        <w:t xml:space="preserve">Source: </w:t>
      </w:r>
      <w:r w:rsidRPr="00306F9C">
        <w:rPr>
          <w:sz w:val="24"/>
          <w:lang w:eastAsia="en-GB"/>
        </w:rPr>
        <w:t>EUSILC UDB 2013 – version 2 of August 2015</w:t>
      </w:r>
    </w:p>
    <w:p w:rsidR="00AF323E" w:rsidRPr="00306F9C" w:rsidRDefault="00AF323E" w:rsidP="00123DE3"/>
    <w:p w:rsidR="00AF323E" w:rsidRPr="00306F9C" w:rsidRDefault="00AF323E" w:rsidP="00123DE3">
      <w:pPr>
        <w:rPr>
          <w:b/>
          <w:bCs/>
        </w:rPr>
      </w:pPr>
      <w:r w:rsidRPr="00306F9C">
        <w:br w:type="page"/>
      </w:r>
    </w:p>
    <w:p w:rsidR="002A6F1E" w:rsidRPr="00306F9C" w:rsidRDefault="002A6F1E" w:rsidP="00123DE3">
      <w:pPr>
        <w:pStyle w:val="Caption"/>
        <w:rPr>
          <w:sz w:val="24"/>
          <w:szCs w:val="24"/>
        </w:rPr>
      </w:pPr>
      <w:r w:rsidRPr="00306F9C">
        <w:rPr>
          <w:sz w:val="24"/>
          <w:szCs w:val="24"/>
        </w:rPr>
        <w:lastRenderedPageBreak/>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19</w:t>
      </w:r>
      <w:r w:rsidR="00AF69A0" w:rsidRPr="00306F9C">
        <w:rPr>
          <w:noProof/>
          <w:sz w:val="24"/>
          <w:szCs w:val="24"/>
        </w:rPr>
        <w:fldChar w:fldCharType="end"/>
      </w:r>
      <w:r w:rsidRPr="00306F9C">
        <w:rPr>
          <w:sz w:val="24"/>
          <w:szCs w:val="24"/>
        </w:rPr>
        <w:t>: Overall</w:t>
      </w:r>
      <w:r w:rsidR="003B422F" w:rsidRPr="00306F9C">
        <w:rPr>
          <w:sz w:val="24"/>
          <w:szCs w:val="24"/>
        </w:rPr>
        <w:t xml:space="preserve"> risk of</w:t>
      </w:r>
      <w:r w:rsidRPr="00306F9C">
        <w:rPr>
          <w:sz w:val="24"/>
          <w:szCs w:val="24"/>
        </w:rPr>
        <w:t xml:space="preserve"> household poverty </w:t>
      </w:r>
      <w:r w:rsidR="00722DE1" w:rsidRPr="00306F9C">
        <w:rPr>
          <w:sz w:val="24"/>
          <w:szCs w:val="24"/>
        </w:rPr>
        <w:t xml:space="preserve">or exclusion </w:t>
      </w:r>
      <w:r w:rsidR="003B422F" w:rsidRPr="00306F9C">
        <w:rPr>
          <w:sz w:val="24"/>
          <w:szCs w:val="24"/>
        </w:rPr>
        <w:t xml:space="preserve">by </w:t>
      </w:r>
      <w:r w:rsidR="0056052E" w:rsidRPr="00306F9C">
        <w:rPr>
          <w:sz w:val="24"/>
          <w:szCs w:val="24"/>
        </w:rPr>
        <w:t>disability and</w:t>
      </w:r>
      <w:r w:rsidR="000E016C" w:rsidRPr="00306F9C">
        <w:rPr>
          <w:sz w:val="24"/>
          <w:szCs w:val="24"/>
        </w:rPr>
        <w:t xml:space="preserve"> age </w:t>
      </w:r>
      <w:r w:rsidRPr="00306F9C">
        <w:rPr>
          <w:sz w:val="24"/>
          <w:szCs w:val="24"/>
        </w:rPr>
        <w:t>(</w:t>
      </w:r>
      <w:r w:rsidR="00CE5537" w:rsidRPr="00306F9C">
        <w:rPr>
          <w:sz w:val="24"/>
          <w:szCs w:val="24"/>
        </w:rPr>
        <w:t>aged 16+</w:t>
      </w:r>
      <w:r w:rsidRPr="00306F9C">
        <w:rPr>
          <w:sz w:val="24"/>
          <w:szCs w:val="24"/>
        </w:rPr>
        <w:t>)</w:t>
      </w:r>
    </w:p>
    <w:p w:rsidR="001E1C6F" w:rsidRPr="00306F9C" w:rsidRDefault="002A6F1E" w:rsidP="00123DE3">
      <w:r w:rsidRPr="00306F9C">
        <w:rPr>
          <w:noProof/>
          <w:lang w:eastAsia="en-GB"/>
        </w:rPr>
        <w:drawing>
          <wp:inline distT="0" distB="0" distL="0" distR="0" wp14:anchorId="0F41B27F" wp14:editId="66697280">
            <wp:extent cx="5486400" cy="2590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6B30" w:rsidRDefault="00A36B30"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p>
    <w:p w:rsidR="00D304E4" w:rsidRPr="00306F9C" w:rsidRDefault="00D304E4" w:rsidP="00123DE3">
      <w:pPr>
        <w:pStyle w:val="Sourcereference"/>
        <w:spacing w:after="0"/>
        <w:rPr>
          <w:sz w:val="24"/>
          <w:lang w:eastAsia="en-GB"/>
        </w:rPr>
      </w:pPr>
    </w:p>
    <w:p w:rsidR="00755A21" w:rsidRPr="00306F9C" w:rsidRDefault="00755A21" w:rsidP="00123DE3">
      <w:pPr>
        <w:pStyle w:val="Caption"/>
        <w:rPr>
          <w:sz w:val="24"/>
          <w:szCs w:val="24"/>
        </w:rPr>
      </w:pPr>
      <w:r w:rsidRPr="00306F9C">
        <w:rPr>
          <w:sz w:val="24"/>
          <w:szCs w:val="24"/>
        </w:rPr>
        <w:t xml:space="preserve">Table </w:t>
      </w:r>
      <w:r w:rsidR="00AF69A0" w:rsidRPr="00306F9C">
        <w:rPr>
          <w:sz w:val="24"/>
          <w:szCs w:val="24"/>
        </w:rPr>
        <w:fldChar w:fldCharType="begin"/>
      </w:r>
      <w:r w:rsidR="00161004" w:rsidRPr="00306F9C">
        <w:rPr>
          <w:sz w:val="24"/>
          <w:szCs w:val="24"/>
        </w:rPr>
        <w:instrText xml:space="preserve"> SEQ Table \* ARABIC </w:instrText>
      </w:r>
      <w:r w:rsidR="00AF69A0" w:rsidRPr="00306F9C">
        <w:rPr>
          <w:sz w:val="24"/>
          <w:szCs w:val="24"/>
        </w:rPr>
        <w:fldChar w:fldCharType="separate"/>
      </w:r>
      <w:r w:rsidR="00E51EC7" w:rsidRPr="00306F9C">
        <w:rPr>
          <w:noProof/>
          <w:sz w:val="24"/>
          <w:szCs w:val="24"/>
        </w:rPr>
        <w:t>20</w:t>
      </w:r>
      <w:r w:rsidR="00AF69A0" w:rsidRPr="00306F9C">
        <w:rPr>
          <w:noProof/>
          <w:sz w:val="24"/>
          <w:szCs w:val="24"/>
        </w:rPr>
        <w:fldChar w:fldCharType="end"/>
      </w:r>
      <w:r w:rsidRPr="00306F9C">
        <w:rPr>
          <w:sz w:val="24"/>
          <w:szCs w:val="24"/>
        </w:rPr>
        <w:t xml:space="preserve">: </w:t>
      </w:r>
      <w:r w:rsidR="00722DE1" w:rsidRPr="00306F9C">
        <w:rPr>
          <w:sz w:val="24"/>
          <w:szCs w:val="24"/>
        </w:rPr>
        <w:t>T</w:t>
      </w:r>
      <w:r w:rsidR="0010423F" w:rsidRPr="00306F9C">
        <w:rPr>
          <w:sz w:val="24"/>
          <w:szCs w:val="24"/>
        </w:rPr>
        <w:t>rend</w:t>
      </w:r>
      <w:r w:rsidR="0056052E" w:rsidRPr="00306F9C">
        <w:rPr>
          <w:sz w:val="24"/>
          <w:szCs w:val="24"/>
        </w:rPr>
        <w:t>s</w:t>
      </w:r>
      <w:r w:rsidR="0010423F" w:rsidRPr="00306F9C">
        <w:rPr>
          <w:sz w:val="24"/>
          <w:szCs w:val="24"/>
        </w:rPr>
        <w:t xml:space="preserve"> in household risk of poverty and exclusion</w:t>
      </w:r>
      <w:r w:rsidRPr="00306F9C">
        <w:rPr>
          <w:sz w:val="24"/>
          <w:szCs w:val="24"/>
        </w:rPr>
        <w:t xml:space="preserve"> </w:t>
      </w:r>
      <w:r w:rsidR="00722DE1" w:rsidRPr="00306F9C">
        <w:rPr>
          <w:sz w:val="24"/>
          <w:szCs w:val="24"/>
        </w:rPr>
        <w:t xml:space="preserve">by </w:t>
      </w:r>
      <w:r w:rsidR="0056052E" w:rsidRPr="00306F9C">
        <w:rPr>
          <w:sz w:val="24"/>
          <w:szCs w:val="24"/>
        </w:rPr>
        <w:t xml:space="preserve">disability and </w:t>
      </w:r>
      <w:r w:rsidR="00722DE1" w:rsidRPr="00306F9C">
        <w:rPr>
          <w:sz w:val="24"/>
          <w:szCs w:val="24"/>
        </w:rPr>
        <w:t xml:space="preserve">age </w:t>
      </w:r>
      <w:r w:rsidRPr="00306F9C">
        <w:rPr>
          <w:sz w:val="24"/>
          <w:szCs w:val="24"/>
        </w:rPr>
        <w:t>(EU-SILC 201</w:t>
      </w:r>
      <w:r w:rsidR="00044E73" w:rsidRPr="00306F9C">
        <w:rPr>
          <w:sz w:val="24"/>
          <w:szCs w:val="24"/>
        </w:rPr>
        <w:t>3</w:t>
      </w:r>
      <w:r w:rsidRPr="00306F9C">
        <w:rPr>
          <w:sz w:val="24"/>
          <w:szCs w:val="24"/>
        </w:rPr>
        <w:t>)</w:t>
      </w:r>
    </w:p>
    <w:p w:rsidR="00755A21" w:rsidRPr="00306F9C" w:rsidRDefault="00755A21" w:rsidP="00123DE3">
      <w:r w:rsidRPr="00306F9C">
        <w:rPr>
          <w:noProof/>
          <w:lang w:eastAsia="en-GB"/>
        </w:rPr>
        <w:drawing>
          <wp:inline distT="0" distB="0" distL="0" distR="0" wp14:anchorId="765A7376" wp14:editId="070C6357">
            <wp:extent cx="5486400" cy="4043083"/>
            <wp:effectExtent l="0" t="0" r="1905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0D45" w:rsidRPr="00306F9C" w:rsidRDefault="00680D45" w:rsidP="00123DE3">
      <w:pPr>
        <w:pStyle w:val="Sourcereference"/>
        <w:spacing w:after="0"/>
        <w:rPr>
          <w:sz w:val="24"/>
          <w:lang w:eastAsia="en-GB"/>
        </w:rPr>
      </w:pPr>
      <w:r w:rsidRPr="00306F9C">
        <w:rPr>
          <w:sz w:val="24"/>
        </w:rPr>
        <w:t xml:space="preserve">Source: </w:t>
      </w:r>
      <w:r w:rsidR="00423314" w:rsidRPr="00306F9C">
        <w:rPr>
          <w:sz w:val="24"/>
          <w:lang w:eastAsia="en-GB"/>
        </w:rPr>
        <w:t>EUSILC UDB 2013 – version 2 of August 2015</w:t>
      </w:r>
      <w:r w:rsidRPr="00306F9C">
        <w:rPr>
          <w:sz w:val="24"/>
          <w:lang w:eastAsia="en-GB"/>
        </w:rPr>
        <w:t xml:space="preserve"> (and previous UDB)</w:t>
      </w:r>
    </w:p>
    <w:p w:rsidR="00A55B60" w:rsidRPr="00306F9C" w:rsidRDefault="00A55B60" w:rsidP="00123DE3">
      <w:pPr>
        <w:pStyle w:val="Sourcereference"/>
        <w:spacing w:after="0"/>
        <w:rPr>
          <w:sz w:val="24"/>
          <w:lang w:eastAsia="en-GB"/>
        </w:rPr>
      </w:pPr>
      <w:r w:rsidRPr="00306F9C">
        <w:rPr>
          <w:sz w:val="24"/>
          <w:lang w:eastAsia="en-GB"/>
        </w:rPr>
        <w:t xml:space="preserve">Note the previous table comment, overall changes in national household income may impact on changes in </w:t>
      </w:r>
      <w:r w:rsidR="00EB6123" w:rsidRPr="00306F9C">
        <w:rPr>
          <w:b/>
          <w:bCs/>
          <w:sz w:val="24"/>
          <w:lang w:eastAsia="en-GB"/>
        </w:rPr>
        <w:t>relative</w:t>
      </w:r>
      <w:r w:rsidRPr="00306F9C">
        <w:rPr>
          <w:sz w:val="24"/>
          <w:lang w:eastAsia="en-GB"/>
        </w:rPr>
        <w:t xml:space="preserve"> income after social transfers.</w:t>
      </w:r>
    </w:p>
    <w:p w:rsidR="00755A21" w:rsidRPr="00306F9C" w:rsidRDefault="0010423F" w:rsidP="00123DE3">
      <w:pPr>
        <w:pStyle w:val="Un-numberedsubheading"/>
        <w:spacing w:after="0"/>
      </w:pPr>
      <w:r w:rsidRPr="00306F9C">
        <w:lastRenderedPageBreak/>
        <w:t xml:space="preserve">Alternative </w:t>
      </w:r>
      <w:r w:rsidR="00CC6322" w:rsidRPr="00306F9C">
        <w:t xml:space="preserve">data on disability and </w:t>
      </w:r>
      <w:r w:rsidR="007360E6" w:rsidRPr="00306F9C">
        <w:t>risk</w:t>
      </w:r>
      <w:r w:rsidR="00803568" w:rsidRPr="00306F9C">
        <w:t xml:space="preserve"> of poverty or social exclusion</w:t>
      </w:r>
      <w:r w:rsidR="007360E6" w:rsidRPr="00306F9C">
        <w:t xml:space="preserve"> </w:t>
      </w:r>
      <w:r w:rsidR="00803568" w:rsidRPr="00306F9C">
        <w:t>provided by the national expert</w:t>
      </w:r>
      <w:r w:rsidRPr="00306F9C">
        <w:t>:</w:t>
      </w:r>
    </w:p>
    <w:p w:rsidR="00067896" w:rsidRPr="00306F9C" w:rsidRDefault="00067896" w:rsidP="00123DE3">
      <w:pPr>
        <w:pStyle w:val="Un-numberedsubheading"/>
        <w:spacing w:after="0"/>
      </w:pPr>
    </w:p>
    <w:p w:rsidR="000D2C6D" w:rsidRDefault="00067896" w:rsidP="00123DE3">
      <w:pPr>
        <w:pStyle w:val="Un-numberedsubheading"/>
        <w:spacing w:after="0"/>
        <w:rPr>
          <w:b w:val="0"/>
        </w:rPr>
      </w:pPr>
      <w:r w:rsidRPr="00306F9C">
        <w:rPr>
          <w:b w:val="0"/>
        </w:rPr>
        <w:t>SILC data analysis by the National Statistical Service for the same year (2013</w:t>
      </w:r>
      <w:r w:rsidR="00D304E4">
        <w:rPr>
          <w:b w:val="0"/>
        </w:rPr>
        <w:t>)</w:t>
      </w:r>
      <w:r w:rsidR="00DB34F4" w:rsidRPr="00306F9C">
        <w:rPr>
          <w:rStyle w:val="FootnoteReference"/>
          <w:b w:val="0"/>
        </w:rPr>
        <w:footnoteReference w:id="13"/>
      </w:r>
      <w:r w:rsidRPr="00306F9C">
        <w:rPr>
          <w:b w:val="0"/>
        </w:rPr>
        <w:t xml:space="preserve"> does not </w:t>
      </w:r>
      <w:r w:rsidR="007E2B74" w:rsidRPr="00306F9C">
        <w:rPr>
          <w:b w:val="0"/>
        </w:rPr>
        <w:t>disaggregate</w:t>
      </w:r>
      <w:r w:rsidRPr="00306F9C">
        <w:rPr>
          <w:b w:val="0"/>
        </w:rPr>
        <w:t xml:space="preserve"> results by disability (in contrast for instance with ethnicity). </w:t>
      </w:r>
      <w:r w:rsidR="000D2C6D" w:rsidRPr="00306F9C">
        <w:rPr>
          <w:b w:val="0"/>
        </w:rPr>
        <w:t xml:space="preserve">Nevertheless, there are a </w:t>
      </w:r>
      <w:r w:rsidR="009474DB" w:rsidRPr="00306F9C">
        <w:rPr>
          <w:b w:val="0"/>
        </w:rPr>
        <w:t>couple of</w:t>
      </w:r>
      <w:r w:rsidR="000D2C6D" w:rsidRPr="00306F9C">
        <w:rPr>
          <w:b w:val="0"/>
        </w:rPr>
        <w:t xml:space="preserve"> issues to highlight in the national data </w:t>
      </w:r>
      <w:r w:rsidR="009474DB" w:rsidRPr="00306F9C">
        <w:rPr>
          <w:b w:val="0"/>
        </w:rPr>
        <w:t>available concerning</w:t>
      </w:r>
      <w:r w:rsidR="000D2C6D" w:rsidRPr="00306F9C">
        <w:rPr>
          <w:b w:val="0"/>
        </w:rPr>
        <w:t xml:space="preserve"> </w:t>
      </w:r>
      <w:r w:rsidR="009474DB" w:rsidRPr="00306F9C">
        <w:rPr>
          <w:b w:val="0"/>
        </w:rPr>
        <w:t>risk of poverty</w:t>
      </w:r>
      <w:r w:rsidR="000D2C6D" w:rsidRPr="00306F9C">
        <w:rPr>
          <w:b w:val="0"/>
        </w:rPr>
        <w:t xml:space="preserve"> which will be discussed later in the relevant sections.</w:t>
      </w:r>
    </w:p>
    <w:p w:rsidR="00D304E4" w:rsidRPr="00306F9C" w:rsidRDefault="00D304E4" w:rsidP="00123DE3">
      <w:pPr>
        <w:pStyle w:val="Un-numberedsubheading"/>
        <w:spacing w:after="0"/>
        <w:rPr>
          <w:b w:val="0"/>
        </w:rPr>
      </w:pPr>
    </w:p>
    <w:p w:rsidR="009474DB" w:rsidRDefault="000D2C6D" w:rsidP="00123DE3">
      <w:pPr>
        <w:pStyle w:val="Un-numberedsubheading"/>
        <w:spacing w:after="0"/>
        <w:rPr>
          <w:b w:val="0"/>
        </w:rPr>
      </w:pPr>
      <w:r w:rsidRPr="00306F9C">
        <w:rPr>
          <w:b w:val="0"/>
        </w:rPr>
        <w:t xml:space="preserve">Firstly, </w:t>
      </w:r>
      <w:r w:rsidR="009474DB" w:rsidRPr="00306F9C">
        <w:rPr>
          <w:b w:val="0"/>
        </w:rPr>
        <w:t xml:space="preserve">with reference to the methodological note by the ANED core team regarding the </w:t>
      </w:r>
      <w:r w:rsidR="009474DB" w:rsidRPr="00306F9C">
        <w:rPr>
          <w:i/>
        </w:rPr>
        <w:t xml:space="preserve">relative financial poverty risk </w:t>
      </w:r>
      <w:r w:rsidR="00EB6123" w:rsidRPr="00306F9C">
        <w:rPr>
          <w:b w:val="0"/>
          <w:iCs/>
        </w:rPr>
        <w:t>(defined as below 60% median household income after social transfers)</w:t>
      </w:r>
      <w:r w:rsidR="009474DB" w:rsidRPr="00306F9C">
        <w:rPr>
          <w:b w:val="0"/>
        </w:rPr>
        <w:t xml:space="preserve"> in the case of Greece, it is explained that if the risk of poverty was examined in a stable time line, for instance under economic conditions in 2008 (prior to the economic crisis), the population at risk of poverty for 2013 would be estimated at 48%, instead of 22.1%</w:t>
      </w:r>
      <w:r w:rsidR="00D304E4">
        <w:rPr>
          <w:b w:val="0"/>
        </w:rPr>
        <w:t>.</w:t>
      </w:r>
      <w:r w:rsidR="009474DB" w:rsidRPr="00306F9C">
        <w:rPr>
          <w:rStyle w:val="FootnoteReference"/>
          <w:b w:val="0"/>
        </w:rPr>
        <w:footnoteReference w:id="14"/>
      </w:r>
    </w:p>
    <w:p w:rsidR="00D304E4" w:rsidRPr="00306F9C" w:rsidRDefault="00D304E4" w:rsidP="00123DE3">
      <w:pPr>
        <w:pStyle w:val="Un-numberedsubheading"/>
        <w:spacing w:after="0"/>
        <w:rPr>
          <w:b w:val="0"/>
        </w:rPr>
      </w:pPr>
    </w:p>
    <w:p w:rsidR="006B0D59" w:rsidRPr="00306F9C" w:rsidRDefault="009474DB" w:rsidP="00123DE3">
      <w:pPr>
        <w:pStyle w:val="Un-numberedsubheading"/>
        <w:spacing w:after="0"/>
        <w:rPr>
          <w:b w:val="0"/>
          <w:lang w:val="en-US"/>
        </w:rPr>
      </w:pPr>
      <w:r w:rsidRPr="00306F9C">
        <w:rPr>
          <w:b w:val="0"/>
        </w:rPr>
        <w:t>A further note concerns the increased vulnerability of children to poverty</w:t>
      </w:r>
      <w:r w:rsidR="007C708E" w:rsidRPr="00306F9C">
        <w:rPr>
          <w:b w:val="0"/>
        </w:rPr>
        <w:t xml:space="preserve"> in Greece</w:t>
      </w:r>
      <w:r w:rsidRPr="00306F9C">
        <w:rPr>
          <w:b w:val="0"/>
        </w:rPr>
        <w:t xml:space="preserve">, </w:t>
      </w:r>
      <w:r w:rsidR="000D2C6D" w:rsidRPr="00306F9C">
        <w:rPr>
          <w:b w:val="0"/>
        </w:rPr>
        <w:t xml:space="preserve">especially </w:t>
      </w:r>
      <w:r w:rsidR="00ED3320" w:rsidRPr="00306F9C">
        <w:rPr>
          <w:b w:val="0"/>
        </w:rPr>
        <w:t xml:space="preserve">since the EU SILC data does not include </w:t>
      </w:r>
      <w:r w:rsidR="007E2B74" w:rsidRPr="00306F9C">
        <w:rPr>
          <w:b w:val="0"/>
        </w:rPr>
        <w:t xml:space="preserve">disability </w:t>
      </w:r>
      <w:r w:rsidR="000D2C6D" w:rsidRPr="00306F9C">
        <w:rPr>
          <w:b w:val="0"/>
        </w:rPr>
        <w:t xml:space="preserve">data for </w:t>
      </w:r>
      <w:r w:rsidR="00ED3320" w:rsidRPr="00306F9C">
        <w:rPr>
          <w:b w:val="0"/>
        </w:rPr>
        <w:t>children aged up to 15 years old</w:t>
      </w:r>
      <w:r w:rsidR="00AE358C">
        <w:rPr>
          <w:b w:val="0"/>
        </w:rPr>
        <w:t xml:space="preserve">. </w:t>
      </w:r>
      <w:r w:rsidRPr="00306F9C">
        <w:rPr>
          <w:b w:val="0"/>
        </w:rPr>
        <w:t>T</w:t>
      </w:r>
      <w:r w:rsidR="00ED3320" w:rsidRPr="00306F9C">
        <w:rPr>
          <w:b w:val="0"/>
        </w:rPr>
        <w:t xml:space="preserve">he risk of child poverty </w:t>
      </w:r>
      <w:r w:rsidR="000D2C6D" w:rsidRPr="00306F9C">
        <w:rPr>
          <w:b w:val="0"/>
        </w:rPr>
        <w:t>in Greece is 25.5%</w:t>
      </w:r>
      <w:r w:rsidR="00ED3320" w:rsidRPr="00306F9C">
        <w:rPr>
          <w:b w:val="0"/>
        </w:rPr>
        <w:t xml:space="preserve"> </w:t>
      </w:r>
      <w:r w:rsidR="005B784E" w:rsidRPr="00306F9C">
        <w:rPr>
          <w:b w:val="0"/>
        </w:rPr>
        <w:t>which is</w:t>
      </w:r>
      <w:r w:rsidR="00ED3320" w:rsidRPr="00306F9C">
        <w:rPr>
          <w:b w:val="0"/>
        </w:rPr>
        <w:t xml:space="preserve"> 3.4% greater than that o</w:t>
      </w:r>
      <w:r w:rsidRPr="00306F9C">
        <w:rPr>
          <w:b w:val="0"/>
        </w:rPr>
        <w:t>f the rest of the population</w:t>
      </w:r>
      <w:r w:rsidR="00D304E4">
        <w:rPr>
          <w:b w:val="0"/>
        </w:rPr>
        <w:t>.</w:t>
      </w:r>
      <w:r w:rsidR="00662589" w:rsidRPr="00306F9C">
        <w:rPr>
          <w:rStyle w:val="FootnoteReference"/>
          <w:b w:val="0"/>
        </w:rPr>
        <w:footnoteReference w:id="15"/>
      </w:r>
      <w:r w:rsidR="00D304E4">
        <w:rPr>
          <w:b w:val="0"/>
        </w:rPr>
        <w:t xml:space="preserve"> </w:t>
      </w:r>
      <w:r w:rsidR="007C4269" w:rsidRPr="00306F9C">
        <w:rPr>
          <w:b w:val="0"/>
          <w:lang w:val="en-US"/>
        </w:rPr>
        <w:t>Finally, data is available from the National Statistical Service (</w:t>
      </w:r>
      <w:r w:rsidR="006B0D59" w:rsidRPr="00306F9C">
        <w:rPr>
          <w:b w:val="0"/>
          <w:lang w:val="en-US"/>
        </w:rPr>
        <w:t>2013</w:t>
      </w:r>
      <w:r w:rsidR="007C4269" w:rsidRPr="00306F9C">
        <w:rPr>
          <w:b w:val="0"/>
          <w:lang w:val="en-US"/>
        </w:rPr>
        <w:t>)</w:t>
      </w:r>
      <w:r w:rsidR="006B0D59" w:rsidRPr="00306F9C">
        <w:rPr>
          <w:rStyle w:val="FootnoteReference"/>
          <w:b w:val="0"/>
          <w:lang w:val="en-US"/>
        </w:rPr>
        <w:footnoteReference w:id="16"/>
      </w:r>
      <w:r w:rsidR="007C4269" w:rsidRPr="00306F9C">
        <w:rPr>
          <w:b w:val="0"/>
          <w:lang w:val="en-US"/>
        </w:rPr>
        <w:t xml:space="preserve"> regarding the population living in</w:t>
      </w:r>
      <w:r w:rsidR="00C34368" w:rsidRPr="00306F9C">
        <w:rPr>
          <w:b w:val="0"/>
          <w:lang w:val="en-US"/>
        </w:rPr>
        <w:t xml:space="preserve"> public social care</w:t>
      </w:r>
      <w:r w:rsidR="007C4269" w:rsidRPr="00306F9C">
        <w:rPr>
          <w:b w:val="0"/>
          <w:lang w:val="en-US"/>
        </w:rPr>
        <w:t xml:space="preserve"> institutions. In particular, a total of</w:t>
      </w:r>
      <w:r w:rsidR="006B0D59" w:rsidRPr="00306F9C">
        <w:rPr>
          <w:b w:val="0"/>
          <w:lang w:val="en-US"/>
        </w:rPr>
        <w:t xml:space="preserve"> 3178 people resided in social </w:t>
      </w:r>
      <w:r w:rsidR="007C4269" w:rsidRPr="00306F9C">
        <w:rPr>
          <w:b w:val="0"/>
          <w:lang w:val="en-US"/>
        </w:rPr>
        <w:t xml:space="preserve">care </w:t>
      </w:r>
      <w:r w:rsidR="006B0D59" w:rsidRPr="00306F9C">
        <w:rPr>
          <w:b w:val="0"/>
          <w:lang w:val="en-US"/>
        </w:rPr>
        <w:t xml:space="preserve">institutions in 2013, including 1690 people in </w:t>
      </w:r>
      <w:r w:rsidR="007C4269" w:rsidRPr="00306F9C">
        <w:rPr>
          <w:b w:val="0"/>
          <w:lang w:val="en-US"/>
        </w:rPr>
        <w:t>institutions</w:t>
      </w:r>
      <w:r w:rsidR="006B0D59" w:rsidRPr="00306F9C">
        <w:rPr>
          <w:b w:val="0"/>
          <w:lang w:val="en-US"/>
        </w:rPr>
        <w:t xml:space="preserve"> for people with di</w:t>
      </w:r>
      <w:r w:rsidR="007C4269" w:rsidRPr="00306F9C">
        <w:rPr>
          <w:b w:val="0"/>
          <w:lang w:val="en-US"/>
        </w:rPr>
        <w:t>sabilities (</w:t>
      </w:r>
      <w:r w:rsidR="00932952" w:rsidRPr="00306F9C">
        <w:rPr>
          <w:b w:val="0"/>
          <w:lang w:val="en-US"/>
        </w:rPr>
        <w:t>20 units)</w:t>
      </w:r>
      <w:r w:rsidR="006B0D59" w:rsidRPr="00306F9C">
        <w:rPr>
          <w:b w:val="0"/>
          <w:lang w:val="en-US"/>
        </w:rPr>
        <w:t xml:space="preserve"> , 476</w:t>
      </w:r>
      <w:r w:rsidR="00932952" w:rsidRPr="00306F9C">
        <w:rPr>
          <w:b w:val="0"/>
          <w:lang w:val="en-US"/>
        </w:rPr>
        <w:t xml:space="preserve"> people</w:t>
      </w:r>
      <w:r w:rsidR="00C34368" w:rsidRPr="00306F9C">
        <w:rPr>
          <w:b w:val="0"/>
          <w:lang w:val="en-US"/>
        </w:rPr>
        <w:t xml:space="preserve"> </w:t>
      </w:r>
      <w:r w:rsidR="007668F7" w:rsidRPr="00306F9C">
        <w:rPr>
          <w:b w:val="0"/>
          <w:lang w:val="en-US"/>
        </w:rPr>
        <w:t>in</w:t>
      </w:r>
      <w:r w:rsidR="006B0D59" w:rsidRPr="00306F9C">
        <w:rPr>
          <w:b w:val="0"/>
          <w:lang w:val="en-US"/>
        </w:rPr>
        <w:t xml:space="preserve"> disability rehabilitation units</w:t>
      </w:r>
      <w:r w:rsidR="007668F7" w:rsidRPr="00306F9C">
        <w:rPr>
          <w:b w:val="0"/>
          <w:lang w:val="en-US"/>
        </w:rPr>
        <w:t xml:space="preserve"> (6 units in total)</w:t>
      </w:r>
      <w:r w:rsidR="006B0D59" w:rsidRPr="00306F9C">
        <w:rPr>
          <w:b w:val="0"/>
          <w:lang w:val="en-US"/>
        </w:rPr>
        <w:t xml:space="preserve">, </w:t>
      </w:r>
      <w:r w:rsidR="007C4269" w:rsidRPr="00306F9C">
        <w:rPr>
          <w:b w:val="0"/>
          <w:lang w:val="en-US"/>
        </w:rPr>
        <w:t xml:space="preserve">while </w:t>
      </w:r>
      <w:r w:rsidR="00821CA4" w:rsidRPr="00306F9C">
        <w:rPr>
          <w:b w:val="0"/>
          <w:lang w:val="en-US"/>
        </w:rPr>
        <w:t>another 480 people</w:t>
      </w:r>
      <w:r w:rsidR="007C4269" w:rsidRPr="00306F9C">
        <w:rPr>
          <w:b w:val="0"/>
          <w:lang w:val="en-US"/>
        </w:rPr>
        <w:t xml:space="preserve"> lived</w:t>
      </w:r>
      <w:r w:rsidR="00821CA4" w:rsidRPr="00306F9C">
        <w:rPr>
          <w:b w:val="0"/>
          <w:lang w:val="en-US"/>
        </w:rPr>
        <w:t xml:space="preserve"> in </w:t>
      </w:r>
      <w:r w:rsidR="007C4269" w:rsidRPr="00306F9C">
        <w:rPr>
          <w:b w:val="0"/>
          <w:lang w:val="en-US"/>
        </w:rPr>
        <w:t>“</w:t>
      </w:r>
      <w:r w:rsidR="00C34368" w:rsidRPr="00306F9C">
        <w:rPr>
          <w:b w:val="0"/>
          <w:lang w:val="en-US"/>
        </w:rPr>
        <w:t>other</w:t>
      </w:r>
      <w:r w:rsidR="007C4269" w:rsidRPr="00306F9C">
        <w:rPr>
          <w:b w:val="0"/>
          <w:lang w:val="en-US"/>
        </w:rPr>
        <w:t>”</w:t>
      </w:r>
      <w:r w:rsidR="00C34368" w:rsidRPr="00306F9C">
        <w:rPr>
          <w:b w:val="0"/>
          <w:lang w:val="en-US"/>
        </w:rPr>
        <w:t xml:space="preserve"> public</w:t>
      </w:r>
      <w:r w:rsidR="007C4269" w:rsidRPr="00306F9C">
        <w:rPr>
          <w:b w:val="0"/>
          <w:lang w:val="en-US"/>
        </w:rPr>
        <w:t xml:space="preserve"> </w:t>
      </w:r>
      <w:r w:rsidR="00821CA4" w:rsidRPr="00306F9C">
        <w:rPr>
          <w:b w:val="0"/>
          <w:lang w:val="en-US"/>
        </w:rPr>
        <w:t>social care institutions</w:t>
      </w:r>
      <w:r w:rsidR="00636282" w:rsidRPr="00306F9C">
        <w:rPr>
          <w:b w:val="0"/>
          <w:lang w:val="en-US"/>
        </w:rPr>
        <w:t xml:space="preserve">. It is estimated </w:t>
      </w:r>
      <w:r w:rsidR="00644224" w:rsidRPr="00306F9C">
        <w:rPr>
          <w:b w:val="0"/>
          <w:lang w:val="en-US"/>
        </w:rPr>
        <w:t xml:space="preserve">by contrast </w:t>
      </w:r>
      <w:r w:rsidR="00636282" w:rsidRPr="00306F9C">
        <w:rPr>
          <w:b w:val="0"/>
          <w:lang w:val="en-US"/>
        </w:rPr>
        <w:t xml:space="preserve">that 8685 people received </w:t>
      </w:r>
      <w:r w:rsidR="0079011A" w:rsidRPr="00306F9C">
        <w:rPr>
          <w:b w:val="0"/>
          <w:lang w:val="en-US"/>
        </w:rPr>
        <w:t>non-residential</w:t>
      </w:r>
      <w:r w:rsidR="00636282" w:rsidRPr="00306F9C">
        <w:rPr>
          <w:b w:val="0"/>
          <w:lang w:val="en-US"/>
        </w:rPr>
        <w:t xml:space="preserve"> social care services.</w:t>
      </w:r>
    </w:p>
    <w:p w:rsidR="00BA14E1" w:rsidRPr="00306F9C" w:rsidRDefault="00BA14E1" w:rsidP="00123DE3">
      <w:pPr>
        <w:pStyle w:val="Un-numberedsubheading"/>
        <w:spacing w:after="0"/>
        <w:rPr>
          <w:b w:val="0"/>
        </w:rPr>
      </w:pPr>
    </w:p>
    <w:p w:rsidR="006B0D59" w:rsidRPr="00306F9C" w:rsidRDefault="006B0D59" w:rsidP="00123DE3">
      <w:pPr>
        <w:pStyle w:val="Un-numberedsubheading"/>
        <w:spacing w:after="0"/>
        <w:rPr>
          <w:lang w:val="en-US"/>
        </w:rPr>
      </w:pPr>
    </w:p>
    <w:p w:rsidR="00B2465C" w:rsidRDefault="0010423F" w:rsidP="00123DE3">
      <w:pPr>
        <w:pStyle w:val="Heading1"/>
        <w:rPr>
          <w:szCs w:val="24"/>
        </w:rPr>
      </w:pPr>
      <w:bookmarkStart w:id="22" w:name="_Toc429999642"/>
      <w:bookmarkStart w:id="23" w:name="_Toc453842117"/>
      <w:r w:rsidRPr="00306F9C">
        <w:rPr>
          <w:szCs w:val="24"/>
        </w:rPr>
        <w:lastRenderedPageBreak/>
        <w:t>Description of the situation and trends in relation to each target area</w:t>
      </w:r>
      <w:bookmarkEnd w:id="22"/>
      <w:bookmarkEnd w:id="23"/>
    </w:p>
    <w:p w:rsidR="00D304E4" w:rsidRPr="00D304E4" w:rsidRDefault="00D304E4" w:rsidP="00D304E4"/>
    <w:p w:rsidR="0010423F" w:rsidRPr="00306F9C" w:rsidRDefault="0010423F" w:rsidP="00123DE3">
      <w:pPr>
        <w:pStyle w:val="Heading2"/>
        <w:rPr>
          <w:szCs w:val="24"/>
        </w:rPr>
      </w:pPr>
      <w:bookmarkStart w:id="24" w:name="_Toc429999643"/>
      <w:bookmarkStart w:id="25" w:name="_Toc453842118"/>
      <w:r w:rsidRPr="00306F9C">
        <w:rPr>
          <w:szCs w:val="24"/>
        </w:rPr>
        <w:t>Employment</w:t>
      </w:r>
      <w:bookmarkEnd w:id="24"/>
      <w:bookmarkEnd w:id="25"/>
    </w:p>
    <w:p w:rsidR="0010423F" w:rsidRPr="00306F9C" w:rsidRDefault="0010423F" w:rsidP="00123DE3"/>
    <w:p w:rsidR="004F3B55" w:rsidRPr="00306F9C" w:rsidRDefault="004F3B55" w:rsidP="00123DE3">
      <w:r w:rsidRPr="00306F9C">
        <w:t xml:space="preserve">With regards to employment and disability, a first remark is that the majority of people experiencing disability in the context of EU SILC data (self-reported activity limitation) are </w:t>
      </w:r>
      <w:r w:rsidR="00EB6123" w:rsidRPr="00306F9C">
        <w:rPr>
          <w:bCs/>
        </w:rPr>
        <w:t>older than</w:t>
      </w:r>
      <w:r w:rsidRPr="00306F9C">
        <w:t xml:space="preserve"> working age</w:t>
      </w:r>
      <w:r w:rsidR="006F692E" w:rsidRPr="00306F9C">
        <w:t xml:space="preserve">. The reported </w:t>
      </w:r>
      <w:r w:rsidR="00EB6123" w:rsidRPr="00306F9C">
        <w:rPr>
          <w:b/>
          <w:bCs/>
        </w:rPr>
        <w:t>prevalence of impairment among those aged over 65</w:t>
      </w:r>
      <w:r w:rsidR="006F692E" w:rsidRPr="00306F9C">
        <w:t xml:space="preserve"> is </w:t>
      </w:r>
      <w:r w:rsidRPr="00306F9C">
        <w:t xml:space="preserve">60.6%, in contrast </w:t>
      </w:r>
      <w:r w:rsidR="007E2B74" w:rsidRPr="00306F9C">
        <w:t xml:space="preserve">to </w:t>
      </w:r>
      <w:r w:rsidRPr="00306F9C">
        <w:t xml:space="preserve">people aged 16-64 (11%). That is furthermore a noticeably smaller percentage in comparison to the EU average of people with disabilities in working age (19%). </w:t>
      </w:r>
      <w:r w:rsidR="006F692E" w:rsidRPr="00306F9C">
        <w:t>This may be an artefact of self-reporting (i.e. a lack of reporting disability for younger adults).</w:t>
      </w:r>
    </w:p>
    <w:p w:rsidR="004F3B55" w:rsidRPr="00306F9C" w:rsidRDefault="004F3B55" w:rsidP="00D304E4"/>
    <w:p w:rsidR="004F3B55" w:rsidRPr="00306F9C" w:rsidRDefault="005B019B" w:rsidP="00123DE3">
      <w:r w:rsidRPr="00306F9C">
        <w:t>U</w:t>
      </w:r>
      <w:r w:rsidR="004F3B55" w:rsidRPr="00306F9C">
        <w:t xml:space="preserve">nemployment figures are overall considerably higher for people with disabilities in the country in comparison to </w:t>
      </w:r>
      <w:r w:rsidRPr="00306F9C">
        <w:t xml:space="preserve">the </w:t>
      </w:r>
      <w:r w:rsidR="004F3B55" w:rsidRPr="00306F9C">
        <w:t xml:space="preserve">EU. It is important here to take into account the context of </w:t>
      </w:r>
      <w:r w:rsidR="004F3B55" w:rsidRPr="00306F9C">
        <w:rPr>
          <w:b/>
        </w:rPr>
        <w:t>high unemployment</w:t>
      </w:r>
      <w:r w:rsidR="004F3B55" w:rsidRPr="00306F9C">
        <w:t xml:space="preserve"> in general in Greece. Indicatively the employment rate of the non-disabled population in Greece is just 53.8% in contrast with the EU average at 71.4%. </w:t>
      </w:r>
    </w:p>
    <w:p w:rsidR="004F3B55" w:rsidRPr="00306F9C" w:rsidRDefault="004F3B55" w:rsidP="00D304E4"/>
    <w:p w:rsidR="004F3B55" w:rsidRPr="00306F9C" w:rsidRDefault="004F3B55" w:rsidP="00123DE3">
      <w:r w:rsidRPr="00306F9C">
        <w:t xml:space="preserve">The exceptionally high unemployment rates in comparison with the rest of EU seem to affect mostly </w:t>
      </w:r>
      <w:r w:rsidR="0017160D" w:rsidRPr="00306F9C">
        <w:t>people</w:t>
      </w:r>
      <w:r w:rsidRPr="00306F9C">
        <w:t xml:space="preserve"> with </w:t>
      </w:r>
      <w:r w:rsidR="005B019B" w:rsidRPr="00306F9C">
        <w:t>‘</w:t>
      </w:r>
      <w:r w:rsidRPr="00306F9C">
        <w:t>moderat</w:t>
      </w:r>
      <w:r w:rsidR="0017160D" w:rsidRPr="00306F9C">
        <w:t>e</w:t>
      </w:r>
      <w:r w:rsidR="005B019B" w:rsidRPr="00306F9C">
        <w:t xml:space="preserve">’ </w:t>
      </w:r>
      <w:r w:rsidR="0017160D" w:rsidRPr="00306F9C">
        <w:t>disability and younger people</w:t>
      </w:r>
      <w:r w:rsidR="00834713" w:rsidRPr="00306F9C">
        <w:t>. Thus, o</w:t>
      </w:r>
      <w:r w:rsidRPr="00306F9C">
        <w:t xml:space="preserve">n average in </w:t>
      </w:r>
      <w:r w:rsidR="00834713" w:rsidRPr="00306F9C">
        <w:t xml:space="preserve">the </w:t>
      </w:r>
      <w:r w:rsidRPr="00306F9C">
        <w:t xml:space="preserve">EU 56% of people with moderate limitations are employed in comparison with 33.7% at a national level, whereas the gap is not as great in the case of people with severe limitations (28.6% versus 23% respectively). </w:t>
      </w:r>
    </w:p>
    <w:p w:rsidR="004F3B55" w:rsidRPr="00306F9C" w:rsidRDefault="004F3B55" w:rsidP="00D304E4"/>
    <w:p w:rsidR="004F3B55" w:rsidRPr="00306F9C" w:rsidRDefault="004F3B55" w:rsidP="00123DE3">
      <w:r w:rsidRPr="00306F9C">
        <w:t>As for younger people (16-24) with disabilities, although it is noted that data for the specific age group should be treated with caution</w:t>
      </w:r>
      <w:r w:rsidR="00D304E4">
        <w:t>,</w:t>
      </w:r>
      <w:r w:rsidRPr="00306F9C">
        <w:rPr>
          <w:rStyle w:val="FootnoteReference"/>
        </w:rPr>
        <w:footnoteReference w:id="17"/>
      </w:r>
      <w:r w:rsidRPr="00306F9C">
        <w:t xml:space="preserve"> there are indications that the unemployment rate for younger people with disabilities could be </w:t>
      </w:r>
      <w:r w:rsidR="005B019B" w:rsidRPr="00306F9C">
        <w:t xml:space="preserve">very </w:t>
      </w:r>
      <w:r w:rsidRPr="00306F9C">
        <w:t>high, if we consider that the unemployment rate for younger non-disabled people (16-24) reached 67.4%</w:t>
      </w:r>
      <w:r w:rsidR="00C040C9" w:rsidRPr="00306F9C">
        <w:t xml:space="preserve"> in 2013</w:t>
      </w:r>
      <w:r w:rsidRPr="00306F9C">
        <w:t xml:space="preserve">. </w:t>
      </w:r>
    </w:p>
    <w:p w:rsidR="004F3B55" w:rsidRPr="00306F9C" w:rsidRDefault="004F3B55" w:rsidP="00D304E4"/>
    <w:p w:rsidR="004F3B55" w:rsidRPr="00306F9C" w:rsidRDefault="004F3B55" w:rsidP="00123DE3">
      <w:r w:rsidRPr="00306F9C">
        <w:t>Further factors that potentially affect the employment prospects of young disabled people, as will be discussed later on, are that youth employment programs have not been specifically targeted at people with disabilities; graduation rates f</w:t>
      </w:r>
      <w:r w:rsidR="00C040C9" w:rsidRPr="00306F9C">
        <w:t xml:space="preserve">rom secondary education, which </w:t>
      </w:r>
      <w:r w:rsidRPr="00306F9C">
        <w:t>in itself may include students with disabilities up to the age of 22</w:t>
      </w:r>
      <w:r w:rsidR="00C040C9" w:rsidRPr="00306F9C">
        <w:t>,</w:t>
      </w:r>
      <w:r w:rsidRPr="00306F9C">
        <w:t xml:space="preserve"> </w:t>
      </w:r>
      <w:r w:rsidR="00C040C9" w:rsidRPr="00306F9C">
        <w:t>are</w:t>
      </w:r>
      <w:r w:rsidRPr="00306F9C">
        <w:t xml:space="preserve"> very low, while access to tertiary education </w:t>
      </w:r>
      <w:r w:rsidR="00201188" w:rsidRPr="00306F9C">
        <w:t xml:space="preserve">also </w:t>
      </w:r>
      <w:r w:rsidRPr="00306F9C">
        <w:t>remains at low levels. Also, it should be noted that people with disabilities at an older age may well have benefited from policies employed in the past regarding quota placement in the public sector</w:t>
      </w:r>
      <w:r w:rsidR="00D304E4">
        <w:t>,</w:t>
      </w:r>
      <w:r w:rsidRPr="00306F9C">
        <w:rPr>
          <w:rStyle w:val="FootnoteReference"/>
        </w:rPr>
        <w:footnoteReference w:id="18"/>
      </w:r>
      <w:r w:rsidRPr="00306F9C">
        <w:t xml:space="preserve"> thus achieving better employment rates the highest being 41.8% for the age group 45-54.</w:t>
      </w:r>
    </w:p>
    <w:p w:rsidR="004F3B55" w:rsidRPr="00306F9C" w:rsidRDefault="004F3B55" w:rsidP="00D304E4"/>
    <w:p w:rsidR="004F3B55" w:rsidRPr="00306F9C" w:rsidRDefault="004F3B55" w:rsidP="00123DE3">
      <w:r w:rsidRPr="00306F9C">
        <w:t>Still, in comparison with EU average employment rate</w:t>
      </w:r>
      <w:r w:rsidR="005B784E" w:rsidRPr="00306F9C">
        <w:t>s, national rates remain</w:t>
      </w:r>
      <w:r w:rsidRPr="00306F9C">
        <w:t xml:space="preserve"> markedly low across age groups, with the gap ranging from 13 to 32.9 percentage points (for the age group 24-35). </w:t>
      </w:r>
    </w:p>
    <w:p w:rsidR="008B1FE6" w:rsidRPr="00306F9C" w:rsidRDefault="008B1FE6" w:rsidP="00D304E4"/>
    <w:p w:rsidR="008B1FE6" w:rsidRPr="00306F9C" w:rsidRDefault="008B1FE6" w:rsidP="00123DE3">
      <w:r w:rsidRPr="00306F9C">
        <w:t xml:space="preserve">Women with disabilities have also been more affected by increasing unemployment over the years, as the unemployment rate for that group increased from 23.9% </w:t>
      </w:r>
      <w:r w:rsidRPr="00306F9C">
        <w:lastRenderedPageBreak/>
        <w:t xml:space="preserve">(2010) to 42.2% (2013). The respective figures for men also evidence upward trends in unemployment, as 14.8% of men with disabilities were unemployed in 2010 in comparison to 34.9% in 2013. The impact of the economic recession </w:t>
      </w:r>
      <w:r w:rsidR="00172075" w:rsidRPr="00306F9C">
        <w:t>has been</w:t>
      </w:r>
      <w:r w:rsidRPr="00306F9C">
        <w:t xml:space="preserve"> quite evidently a </w:t>
      </w:r>
      <w:r w:rsidR="005E05EE" w:rsidRPr="00306F9C">
        <w:t xml:space="preserve">crucial factor in rising unemployment, </w:t>
      </w:r>
      <w:r w:rsidR="00172075" w:rsidRPr="00306F9C">
        <w:t>against a background of rather weak/ ineffective employment policies for disability</w:t>
      </w:r>
      <w:r w:rsidR="00E5268E" w:rsidRPr="00306F9C">
        <w:t>, which will be discussed in the relevant sector below</w:t>
      </w:r>
      <w:r w:rsidR="00172075" w:rsidRPr="00306F9C">
        <w:t xml:space="preserve">. </w:t>
      </w:r>
    </w:p>
    <w:p w:rsidR="001601AB" w:rsidRPr="00306F9C" w:rsidRDefault="001601AB" w:rsidP="00123DE3"/>
    <w:p w:rsidR="0010423F" w:rsidRPr="00306F9C" w:rsidRDefault="0010423F" w:rsidP="00123DE3">
      <w:pPr>
        <w:pStyle w:val="Heading2"/>
        <w:rPr>
          <w:szCs w:val="24"/>
        </w:rPr>
      </w:pPr>
      <w:bookmarkStart w:id="26" w:name="_Toc429999644"/>
      <w:bookmarkStart w:id="27" w:name="_Toc453842119"/>
      <w:r w:rsidRPr="00306F9C">
        <w:rPr>
          <w:szCs w:val="24"/>
        </w:rPr>
        <w:t>Education</w:t>
      </w:r>
      <w:bookmarkEnd w:id="26"/>
      <w:bookmarkEnd w:id="27"/>
    </w:p>
    <w:p w:rsidR="00CE24B1" w:rsidRDefault="00CE24B1" w:rsidP="00123DE3"/>
    <w:p w:rsidR="00512D65" w:rsidRPr="00306F9C" w:rsidRDefault="00512D65" w:rsidP="00123DE3">
      <w:r w:rsidRPr="00306F9C">
        <w:t xml:space="preserve">Unfortunately no concrete conclusions can be made on the basis of </w:t>
      </w:r>
      <w:r w:rsidR="0092637A" w:rsidRPr="00306F9C">
        <w:t xml:space="preserve">EU SILC data available for </w:t>
      </w:r>
      <w:r w:rsidRPr="00306F9C">
        <w:t xml:space="preserve">Greece for early school leavers, </w:t>
      </w:r>
      <w:r w:rsidR="0092637A" w:rsidRPr="00306F9C">
        <w:t>since</w:t>
      </w:r>
      <w:r w:rsidRPr="00306F9C">
        <w:t xml:space="preserve"> less than 20</w:t>
      </w:r>
      <w:r w:rsidR="0092637A" w:rsidRPr="00306F9C">
        <w:t xml:space="preserve"> few cases of people with activity limita</w:t>
      </w:r>
      <w:r w:rsidRPr="00306F9C">
        <w:t>tion are included in the sample of those aged 18-29 (i.e. those who may have benefited from most recent educational reforms since 2008)</w:t>
      </w:r>
      <w:r w:rsidR="0092637A" w:rsidRPr="00306F9C">
        <w:t>.</w:t>
      </w:r>
      <w:r w:rsidRPr="00306F9C">
        <w:t xml:space="preserve"> Nevertheless, national administration data evidences an exceptionally low number of pupils with disabilities who graduate from primary and secondary education, whilst some qualitative data exists to gain a better understanding of the </w:t>
      </w:r>
      <w:r w:rsidR="009C07FD" w:rsidRPr="00306F9C">
        <w:t>main challenges</w:t>
      </w:r>
      <w:r w:rsidRPr="00306F9C">
        <w:t xml:space="preserve"> in </w:t>
      </w:r>
      <w:r w:rsidR="00A90031" w:rsidRPr="00306F9C">
        <w:t xml:space="preserve">compulsory </w:t>
      </w:r>
      <w:r w:rsidRPr="00306F9C">
        <w:t>education</w:t>
      </w:r>
      <w:r w:rsidR="009C07FD" w:rsidRPr="00306F9C">
        <w:t xml:space="preserve"> of pupils with disabilities</w:t>
      </w:r>
      <w:r w:rsidRPr="00306F9C">
        <w:t>.</w:t>
      </w:r>
    </w:p>
    <w:p w:rsidR="005F5E23" w:rsidRPr="00306F9C" w:rsidRDefault="005F5E23" w:rsidP="00123DE3"/>
    <w:p w:rsidR="00D155DC" w:rsidRPr="00306F9C" w:rsidRDefault="00A528D0" w:rsidP="00123DE3">
      <w:r w:rsidRPr="00306F9C">
        <w:t>Overall,</w:t>
      </w:r>
      <w:r w:rsidR="00A90031" w:rsidRPr="00306F9C">
        <w:t xml:space="preserve"> p</w:t>
      </w:r>
      <w:r w:rsidRPr="00306F9C">
        <w:t xml:space="preserve">roblems </w:t>
      </w:r>
      <w:r w:rsidR="00536A40" w:rsidRPr="00306F9C">
        <w:t xml:space="preserve">identified in previous reports persist in the education of pupils with disabilities at primary and secondary education. The Annual </w:t>
      </w:r>
      <w:r w:rsidRPr="00306F9C">
        <w:t xml:space="preserve">Equality </w:t>
      </w:r>
      <w:r w:rsidR="00536A40" w:rsidRPr="00306F9C">
        <w:t>Report published by the Ombudsman</w:t>
      </w:r>
      <w:r w:rsidR="004E35E1" w:rsidRPr="00306F9C">
        <w:t xml:space="preserve"> (2014)</w:t>
      </w:r>
      <w:r w:rsidR="00536A40" w:rsidRPr="00306F9C">
        <w:rPr>
          <w:rStyle w:val="FootnoteReference"/>
        </w:rPr>
        <w:footnoteReference w:id="19"/>
      </w:r>
      <w:r w:rsidR="00536A40" w:rsidRPr="00306F9C">
        <w:t xml:space="preserve"> continues to highlight that</w:t>
      </w:r>
      <w:r w:rsidR="00E518E7" w:rsidRPr="00306F9C">
        <w:t>,</w:t>
      </w:r>
      <w:r w:rsidR="00536A40" w:rsidRPr="00306F9C">
        <w:t xml:space="preserve"> specific measures such as parallel support and integration classes in mainstream schools are not always available</w:t>
      </w:r>
      <w:r w:rsidR="00AC6901" w:rsidRPr="00306F9C">
        <w:t xml:space="preserve"> to pupils especially in secondary education</w:t>
      </w:r>
      <w:r w:rsidR="00536A40" w:rsidRPr="00306F9C">
        <w:t>,</w:t>
      </w:r>
      <w:r w:rsidR="00AC6901" w:rsidRPr="00306F9C">
        <w:t xml:space="preserve"> as well as in </w:t>
      </w:r>
      <w:r w:rsidR="00536A40" w:rsidRPr="00306F9C">
        <w:t>more remote areas (e.g. islands)</w:t>
      </w:r>
      <w:r w:rsidR="003A08B6" w:rsidRPr="00306F9C">
        <w:t xml:space="preserve">. Furthermore, as a concluding remark </w:t>
      </w:r>
      <w:r w:rsidR="00F114C5" w:rsidRPr="00306F9C">
        <w:t>(p. 19</w:t>
      </w:r>
      <w:r w:rsidRPr="00306F9C">
        <w:t xml:space="preserve">) </w:t>
      </w:r>
      <w:r w:rsidR="003A08B6" w:rsidRPr="00306F9C">
        <w:t>it is emphasised that</w:t>
      </w:r>
      <w:r w:rsidR="00BB16F2" w:rsidRPr="00306F9C">
        <w:t xml:space="preserve">, </w:t>
      </w:r>
      <w:r w:rsidR="003A08B6" w:rsidRPr="00306F9C">
        <w:t>“</w:t>
      </w:r>
      <w:r w:rsidR="00BB16F2" w:rsidRPr="00306F9C">
        <w:t>the lack of permanent specialised teaching staff, the placement of temporary staff in the middle of the school year and the great delays in the proper functioning of special schools at the beginning of each school year continue to characterise the educational provision to pupils with disabilities in comparison with their non-disabled peers</w:t>
      </w:r>
      <w:r w:rsidR="003A08B6" w:rsidRPr="00306F9C">
        <w:t>”</w:t>
      </w:r>
      <w:r w:rsidR="00BB16F2" w:rsidRPr="00306F9C">
        <w:t xml:space="preserve">. </w:t>
      </w:r>
      <w:r w:rsidR="00D155DC" w:rsidRPr="00306F9C">
        <w:t xml:space="preserve">The severity of these problems is also continuously </w:t>
      </w:r>
      <w:r w:rsidR="003A11B6" w:rsidRPr="00306F9C">
        <w:t>put forward</w:t>
      </w:r>
      <w:r w:rsidR="00D155DC" w:rsidRPr="00306F9C">
        <w:t xml:space="preserve"> </w:t>
      </w:r>
      <w:r w:rsidR="003A11B6" w:rsidRPr="00306F9C">
        <w:t xml:space="preserve">by </w:t>
      </w:r>
      <w:r w:rsidR="00D155DC" w:rsidRPr="00306F9C">
        <w:t>the disability movement in the country</w:t>
      </w:r>
      <w:r w:rsidR="00CE24B1">
        <w:t>.</w:t>
      </w:r>
      <w:r w:rsidR="00D155DC" w:rsidRPr="00306F9C">
        <w:rPr>
          <w:rStyle w:val="FootnoteReference"/>
        </w:rPr>
        <w:footnoteReference w:id="20"/>
      </w:r>
      <w:r w:rsidR="00D155DC" w:rsidRPr="00306F9C">
        <w:t xml:space="preserve"> </w:t>
      </w:r>
    </w:p>
    <w:p w:rsidR="00536A40" w:rsidRPr="00306F9C" w:rsidRDefault="00536A40" w:rsidP="00123DE3"/>
    <w:p w:rsidR="008D2EB3" w:rsidRPr="00306F9C" w:rsidRDefault="008D2EB3" w:rsidP="00123DE3">
      <w:r w:rsidRPr="00306F9C">
        <w:t>With regards to completion of tertiary education, EU SILC data shows a great gap between disabled (17.2%) and non-disabled (34.5%) people</w:t>
      </w:r>
      <w:r w:rsidR="009B4EBC" w:rsidRPr="00306F9C">
        <w:t xml:space="preserve"> on a national level</w:t>
      </w:r>
      <w:r w:rsidRPr="00306F9C">
        <w:t>, whilst the difference remains significant in comparison to the EU average of people with disabilities who compete tertiary education</w:t>
      </w:r>
      <w:r w:rsidR="000959AA" w:rsidRPr="00306F9C">
        <w:t xml:space="preserve"> (26.8%).</w:t>
      </w:r>
      <w:r w:rsidR="00275E01" w:rsidRPr="00306F9C">
        <w:t xml:space="preserve"> That is despite national legislation providing access to university without national exams at a 5% quota scheme</w:t>
      </w:r>
      <w:r w:rsidRPr="00306F9C">
        <w:t xml:space="preserve"> </w:t>
      </w:r>
      <w:r w:rsidR="00275E01" w:rsidRPr="00306F9C">
        <w:t>(L.3794/2009)</w:t>
      </w:r>
      <w:r w:rsidR="000E5AD1" w:rsidRPr="00306F9C">
        <w:t xml:space="preserve"> indicating that problems exist mainly with respect to the level of accessibility </w:t>
      </w:r>
      <w:r w:rsidR="00EB6123" w:rsidRPr="00306F9C">
        <w:rPr>
          <w:bCs/>
        </w:rPr>
        <w:t>within</w:t>
      </w:r>
      <w:r w:rsidR="000E5AD1" w:rsidRPr="00306F9C">
        <w:t xml:space="preserve"> universities and support available during the studies</w:t>
      </w:r>
      <w:r w:rsidR="00636548" w:rsidRPr="00306F9C">
        <w:t xml:space="preserve">, although very little data is available to evidence these shortcomings. </w:t>
      </w:r>
    </w:p>
    <w:p w:rsidR="008D2EB3" w:rsidRPr="00306F9C" w:rsidRDefault="008D2EB3" w:rsidP="00123DE3"/>
    <w:p w:rsidR="00737FDC" w:rsidRDefault="008005D3" w:rsidP="00123DE3">
      <w:r w:rsidRPr="00306F9C">
        <w:t>Some insight can be gained from a</w:t>
      </w:r>
      <w:r w:rsidR="00E424A4" w:rsidRPr="00306F9C">
        <w:t xml:space="preserve"> discrimination case investigated by the Ombudsman</w:t>
      </w:r>
      <w:r w:rsidR="00536A40" w:rsidRPr="00306F9C">
        <w:t xml:space="preserve"> in 2014</w:t>
      </w:r>
      <w:r w:rsidR="00E424A4" w:rsidRPr="00306F9C">
        <w:rPr>
          <w:rStyle w:val="FootnoteReference"/>
        </w:rPr>
        <w:footnoteReference w:id="21"/>
      </w:r>
      <w:r w:rsidR="00E424A4" w:rsidRPr="00306F9C">
        <w:t xml:space="preserve"> </w:t>
      </w:r>
      <w:r w:rsidRPr="00306F9C">
        <w:t xml:space="preserve">which </w:t>
      </w:r>
      <w:r w:rsidR="00E424A4" w:rsidRPr="00306F9C">
        <w:t>showcase</w:t>
      </w:r>
      <w:r w:rsidR="003E3C7A" w:rsidRPr="00306F9C">
        <w:t>d</w:t>
      </w:r>
      <w:r w:rsidR="00E424A4" w:rsidRPr="00306F9C">
        <w:t xml:space="preserve"> </w:t>
      </w:r>
      <w:r w:rsidRPr="00306F9C">
        <w:t xml:space="preserve">the legal </w:t>
      </w:r>
      <w:r w:rsidR="00E424A4" w:rsidRPr="00306F9C">
        <w:t xml:space="preserve">discretion of universities to allow or deny access </w:t>
      </w:r>
      <w:r w:rsidRPr="00306F9C">
        <w:t xml:space="preserve">to disabled candidates </w:t>
      </w:r>
      <w:r w:rsidR="00E424A4" w:rsidRPr="00306F9C">
        <w:t xml:space="preserve">on the basis of </w:t>
      </w:r>
      <w:r w:rsidRPr="00306F9C">
        <w:t xml:space="preserve">their </w:t>
      </w:r>
      <w:r w:rsidR="00E424A4" w:rsidRPr="00306F9C">
        <w:t>perceived capacity</w:t>
      </w:r>
      <w:r w:rsidRPr="00306F9C">
        <w:t xml:space="preserve"> to </w:t>
      </w:r>
      <w:r w:rsidRPr="00306F9C">
        <w:lastRenderedPageBreak/>
        <w:t>participate</w:t>
      </w:r>
      <w:r w:rsidR="00E424A4" w:rsidRPr="00306F9C">
        <w:t xml:space="preserve"> </w:t>
      </w:r>
      <w:r w:rsidRPr="00306F9C">
        <w:t xml:space="preserve">due to </w:t>
      </w:r>
      <w:r w:rsidR="00E424A4" w:rsidRPr="00306F9C">
        <w:t>impairment</w:t>
      </w:r>
      <w:r w:rsidRPr="00306F9C">
        <w:t xml:space="preserve">- meaning that there has been little thought paid, let alone actions, to </w:t>
      </w:r>
      <w:r w:rsidR="003E3C7A" w:rsidRPr="00306F9C">
        <w:t>accessibility</w:t>
      </w:r>
      <w:r w:rsidRPr="00306F9C">
        <w:t xml:space="preserve"> provisions</w:t>
      </w:r>
      <w:r w:rsidR="003E3C7A" w:rsidRPr="00306F9C">
        <w:t xml:space="preserve"> or reasonable accommodation of needs</w:t>
      </w:r>
      <w:r w:rsidRPr="00306F9C">
        <w:t xml:space="preserve">. </w:t>
      </w:r>
      <w:r w:rsidR="00A528D0" w:rsidRPr="00306F9C">
        <w:t xml:space="preserve"> </w:t>
      </w:r>
    </w:p>
    <w:p w:rsidR="00CE24B1" w:rsidRPr="00306F9C" w:rsidRDefault="00CE24B1" w:rsidP="00123DE3"/>
    <w:p w:rsidR="00CF4EEA" w:rsidRPr="00306F9C" w:rsidRDefault="00CF4EEA" w:rsidP="00123DE3">
      <w:r w:rsidRPr="00306F9C">
        <w:t>Another case which demonstra</w:t>
      </w:r>
      <w:r w:rsidR="00536A40" w:rsidRPr="00306F9C">
        <w:t>tes “severe lack of familiarity” (p.12)</w:t>
      </w:r>
      <w:r w:rsidRPr="00306F9C">
        <w:t xml:space="preserve"> with the </w:t>
      </w:r>
      <w:r w:rsidR="00737FDC" w:rsidRPr="00306F9C">
        <w:t xml:space="preserve">concept of reasonable accommodation and the relevant </w:t>
      </w:r>
      <w:r w:rsidRPr="00306F9C">
        <w:t>legislative framework</w:t>
      </w:r>
      <w:r w:rsidR="00536A40" w:rsidRPr="00306F9C">
        <w:t xml:space="preserve"> for disability equality (Equal Treatment Law 3304/2005; UNCRPD Ratification Law 3699/2008) </w:t>
      </w:r>
      <w:r w:rsidR="00737FDC" w:rsidRPr="00306F9C">
        <w:t>wa</w:t>
      </w:r>
      <w:r w:rsidR="00536A40" w:rsidRPr="00306F9C">
        <w:t>s the explicit exclusion of people with mental health problems in a call for candidates at the Public Employment Service (OAED) Vocational School for people with disabilities</w:t>
      </w:r>
      <w:r w:rsidR="00737FDC" w:rsidRPr="00306F9C">
        <w:t xml:space="preserve"> (provides courses at tertiary level)</w:t>
      </w:r>
      <w:r w:rsidR="00536A40" w:rsidRPr="00306F9C">
        <w:t xml:space="preserve"> for the school year 2014-2015.</w:t>
      </w:r>
    </w:p>
    <w:p w:rsidR="007A357E" w:rsidRPr="00306F9C" w:rsidRDefault="007A357E" w:rsidP="00123DE3"/>
    <w:p w:rsidR="007A357E" w:rsidRPr="00306F9C" w:rsidRDefault="007A357E" w:rsidP="00123DE3">
      <w:r w:rsidRPr="00306F9C">
        <w:t xml:space="preserve">The limited progress in terms of disability equality in the field of educational policy will be further discussed in the relevant section below. </w:t>
      </w:r>
    </w:p>
    <w:p w:rsidR="0010423F" w:rsidRPr="00306F9C" w:rsidRDefault="0010423F" w:rsidP="00123DE3"/>
    <w:p w:rsidR="0010423F" w:rsidRPr="00306F9C" w:rsidRDefault="0010423F" w:rsidP="00123DE3">
      <w:pPr>
        <w:pStyle w:val="Heading2"/>
        <w:rPr>
          <w:szCs w:val="24"/>
        </w:rPr>
      </w:pPr>
      <w:bookmarkStart w:id="28" w:name="_Toc429999645"/>
      <w:bookmarkStart w:id="29" w:name="_Toc453842120"/>
      <w:r w:rsidRPr="00306F9C">
        <w:rPr>
          <w:szCs w:val="24"/>
        </w:rPr>
        <w:t>Poverty and social inclusion</w:t>
      </w:r>
      <w:bookmarkEnd w:id="28"/>
      <w:bookmarkEnd w:id="29"/>
    </w:p>
    <w:p w:rsidR="00CE24B1" w:rsidRDefault="00CE24B1" w:rsidP="00123DE3"/>
    <w:p w:rsidR="00F7390E" w:rsidRPr="00306F9C" w:rsidRDefault="00F7390E" w:rsidP="00123DE3">
      <w:r w:rsidRPr="00306F9C">
        <w:t>EU SILC data available for Greece regarding disability and risk of poverty can be seen to confirm</w:t>
      </w:r>
      <w:r w:rsidR="00DC4E72" w:rsidRPr="00306F9C">
        <w:t xml:space="preserve"> the finding</w:t>
      </w:r>
      <w:r w:rsidRPr="00306F9C">
        <w:t xml:space="preserve"> that the </w:t>
      </w:r>
      <w:r w:rsidR="00800D3B" w:rsidRPr="00306F9C">
        <w:t xml:space="preserve">negative </w:t>
      </w:r>
      <w:r w:rsidRPr="00306F9C">
        <w:t xml:space="preserve">impact of the economic crisis has been greater </w:t>
      </w:r>
      <w:r w:rsidR="00800D3B" w:rsidRPr="00306F9C">
        <w:t>for</w:t>
      </w:r>
      <w:r w:rsidRPr="00306F9C">
        <w:t xml:space="preserve"> people of working age, and especially </w:t>
      </w:r>
      <w:r w:rsidR="00800D3B" w:rsidRPr="00306F9C">
        <w:t>those 16-24</w:t>
      </w:r>
      <w:r w:rsidRPr="00306F9C">
        <w:t xml:space="preserve">, </w:t>
      </w:r>
      <w:r w:rsidR="00BC4A68" w:rsidRPr="00306F9C">
        <w:t>as</w:t>
      </w:r>
      <w:r w:rsidRPr="00306F9C">
        <w:t xml:space="preserve"> it </w:t>
      </w:r>
      <w:r w:rsidR="00800D3B" w:rsidRPr="00306F9C">
        <w:t xml:space="preserve">has mainly involved </w:t>
      </w:r>
      <w:r w:rsidRPr="00306F9C">
        <w:t>persistently high unemployment rates.</w:t>
      </w:r>
    </w:p>
    <w:p w:rsidR="00DC4E72" w:rsidRPr="00306F9C" w:rsidRDefault="00DC4E72" w:rsidP="00123DE3"/>
    <w:p w:rsidR="00BA2D62" w:rsidRPr="00306F9C" w:rsidRDefault="001B7B12" w:rsidP="00123DE3">
      <w:r w:rsidRPr="00306F9C">
        <w:t>Indicatively</w:t>
      </w:r>
      <w:r w:rsidR="00DC4E72" w:rsidRPr="00306F9C">
        <w:t xml:space="preserve">, young people with disabilities (16-24) are at a </w:t>
      </w:r>
      <w:r w:rsidR="00DC4E72" w:rsidRPr="00306F9C">
        <w:rPr>
          <w:b/>
        </w:rPr>
        <w:t>double</w:t>
      </w:r>
      <w:r w:rsidR="00EB6123" w:rsidRPr="00306F9C">
        <w:rPr>
          <w:b/>
        </w:rPr>
        <w:t xml:space="preserve"> risk of poverty</w:t>
      </w:r>
      <w:r w:rsidR="00DC4E72" w:rsidRPr="00306F9C">
        <w:t xml:space="preserve"> in comparison to people with disabilities aged over 65, figures being 54.4% and 26.3% respectively.</w:t>
      </w:r>
      <w:r w:rsidRPr="00306F9C">
        <w:t xml:space="preserve"> Disability </w:t>
      </w:r>
      <w:r w:rsidR="00802EC9" w:rsidRPr="00306F9C">
        <w:t>seems</w:t>
      </w:r>
      <w:r w:rsidRPr="00306F9C">
        <w:t xml:space="preserve"> also in itself </w:t>
      </w:r>
      <w:r w:rsidR="00802EC9" w:rsidRPr="00306F9C">
        <w:t xml:space="preserve">to negatively </w:t>
      </w:r>
      <w:r w:rsidRPr="00306F9C">
        <w:t xml:space="preserve">affect the ability of low work intensity households to cope: </w:t>
      </w:r>
      <w:r w:rsidR="00AE358C">
        <w:t xml:space="preserve">Disabled people are </w:t>
      </w:r>
      <w:r w:rsidR="005B019B" w:rsidRPr="00306F9C">
        <w:t>much more likely to live in households with low work intensity – 40% compared to 17% - and lack of work is the key determinant of poverty for working age adults</w:t>
      </w:r>
      <w:proofErr w:type="gramStart"/>
      <w:r w:rsidR="005B019B" w:rsidRPr="00306F9C">
        <w:t>.</w:t>
      </w:r>
      <w:r w:rsidRPr="00306F9C">
        <w:t>.</w:t>
      </w:r>
      <w:proofErr w:type="gramEnd"/>
      <w:r w:rsidRPr="00306F9C">
        <w:t xml:space="preserve"> </w:t>
      </w:r>
    </w:p>
    <w:p w:rsidR="00BA2D62" w:rsidRPr="00306F9C" w:rsidRDefault="00BA2D62" w:rsidP="00123DE3"/>
    <w:p w:rsidR="00F162C4" w:rsidRDefault="00BA2D62" w:rsidP="00123DE3">
      <w:pPr>
        <w:pStyle w:val="Un-numberedsubheading"/>
        <w:spacing w:after="0"/>
        <w:rPr>
          <w:b w:val="0"/>
        </w:rPr>
      </w:pPr>
      <w:r w:rsidRPr="00306F9C">
        <w:rPr>
          <w:b w:val="0"/>
        </w:rPr>
        <w:t>W</w:t>
      </w:r>
      <w:r w:rsidR="00EB4415" w:rsidRPr="00306F9C">
        <w:rPr>
          <w:b w:val="0"/>
        </w:rPr>
        <w:t>hen comparing disabled and non-disabled households with low income</w:t>
      </w:r>
      <w:r w:rsidRPr="00306F9C">
        <w:rPr>
          <w:b w:val="0"/>
        </w:rPr>
        <w:t xml:space="preserve">, it is actually the case that the former have a slightly lower risk of poverty (by 1%) </w:t>
      </w:r>
      <w:r w:rsidR="00EB4415" w:rsidRPr="00306F9C">
        <w:rPr>
          <w:b w:val="0"/>
        </w:rPr>
        <w:t xml:space="preserve">making </w:t>
      </w:r>
      <w:r w:rsidR="00AE6B8E" w:rsidRPr="00306F9C">
        <w:rPr>
          <w:b w:val="0"/>
        </w:rPr>
        <w:t>the</w:t>
      </w:r>
      <w:r w:rsidR="00EB4415" w:rsidRPr="00306F9C">
        <w:rPr>
          <w:b w:val="0"/>
        </w:rPr>
        <w:t xml:space="preserve"> case that </w:t>
      </w:r>
      <w:r w:rsidR="00EB4415" w:rsidRPr="00306F9C">
        <w:t>disposable income</w:t>
      </w:r>
      <w:r w:rsidR="00AE6B8E" w:rsidRPr="00306F9C">
        <w:rPr>
          <w:b w:val="0"/>
        </w:rPr>
        <w:t xml:space="preserve"> (through employment or a pension)</w:t>
      </w:r>
      <w:r w:rsidR="00EB4415" w:rsidRPr="00306F9C">
        <w:rPr>
          <w:b w:val="0"/>
        </w:rPr>
        <w:t xml:space="preserve"> is crucial for meeting the extra costs of disability and thus keeping households above the threshold of poverty.</w:t>
      </w:r>
      <w:r w:rsidRPr="00306F9C">
        <w:rPr>
          <w:b w:val="0"/>
        </w:rPr>
        <w:t xml:space="preserve"> </w:t>
      </w:r>
    </w:p>
    <w:p w:rsidR="00CE24B1" w:rsidRPr="00306F9C" w:rsidRDefault="00CE24B1" w:rsidP="00123DE3">
      <w:pPr>
        <w:pStyle w:val="Un-numberedsubheading"/>
        <w:spacing w:after="0"/>
        <w:rPr>
          <w:b w:val="0"/>
        </w:rPr>
      </w:pPr>
    </w:p>
    <w:p w:rsidR="00BA2D62" w:rsidRPr="00306F9C" w:rsidRDefault="00BA2D62" w:rsidP="00123DE3">
      <w:pPr>
        <w:pStyle w:val="Un-numberedsubheading"/>
        <w:spacing w:after="0"/>
        <w:rPr>
          <w:b w:val="0"/>
        </w:rPr>
      </w:pPr>
      <w:r w:rsidRPr="00306F9C">
        <w:rPr>
          <w:b w:val="0"/>
        </w:rPr>
        <w:t xml:space="preserve">It should also be noted that the convergence </w:t>
      </w:r>
      <w:r w:rsidR="00FE2608" w:rsidRPr="00306F9C">
        <w:rPr>
          <w:b w:val="0"/>
        </w:rPr>
        <w:t>of</w:t>
      </w:r>
      <w:r w:rsidRPr="00306F9C">
        <w:rPr>
          <w:b w:val="0"/>
        </w:rPr>
        <w:t xml:space="preserve"> the poverty risk </w:t>
      </w:r>
      <w:r w:rsidR="00FE2608" w:rsidRPr="00306F9C">
        <w:rPr>
          <w:b w:val="0"/>
        </w:rPr>
        <w:t>between</w:t>
      </w:r>
      <w:r w:rsidRPr="00306F9C">
        <w:rPr>
          <w:b w:val="0"/>
        </w:rPr>
        <w:t xml:space="preserve"> households with disabled members </w:t>
      </w:r>
      <w:r w:rsidR="00FE2608" w:rsidRPr="00306F9C">
        <w:rPr>
          <w:b w:val="0"/>
        </w:rPr>
        <w:t xml:space="preserve">and </w:t>
      </w:r>
      <w:r w:rsidRPr="00306F9C">
        <w:rPr>
          <w:b w:val="0"/>
        </w:rPr>
        <w:t xml:space="preserve">those with non-disabled members owes to the fact that the median national income, on which the </w:t>
      </w:r>
      <w:r w:rsidRPr="00306F9C">
        <w:t>relative financial risk</w:t>
      </w:r>
      <w:r w:rsidRPr="00306F9C">
        <w:rPr>
          <w:b w:val="0"/>
        </w:rPr>
        <w:t xml:space="preserve"> </w:t>
      </w:r>
      <w:r w:rsidRPr="00306F9C">
        <w:t>of poverty</w:t>
      </w:r>
      <w:r w:rsidRPr="00306F9C">
        <w:rPr>
          <w:b w:val="0"/>
        </w:rPr>
        <w:t xml:space="preserve"> is calculated, has dramatically decreased</w:t>
      </w:r>
      <w:r w:rsidR="004502CE" w:rsidRPr="00306F9C">
        <w:rPr>
          <w:b w:val="0"/>
        </w:rPr>
        <w:t xml:space="preserve"> in the context of austerity measures and labour reforms, </w:t>
      </w:r>
      <w:r w:rsidRPr="00306F9C">
        <w:rPr>
          <w:b w:val="0"/>
        </w:rPr>
        <w:t>and this is very well demonstrated by the example discussed before (i.e.</w:t>
      </w:r>
      <w:r w:rsidRPr="00306F9C">
        <w:t xml:space="preserve"> </w:t>
      </w:r>
      <w:r w:rsidRPr="00306F9C">
        <w:rPr>
          <w:b w:val="0"/>
        </w:rPr>
        <w:t xml:space="preserve">if the risk of poverty was examined in a stable time line, for instance under economic conditions in 2008, the population at risk of poverty </w:t>
      </w:r>
      <w:r w:rsidR="00FE2608" w:rsidRPr="00306F9C">
        <w:rPr>
          <w:b w:val="0"/>
        </w:rPr>
        <w:t>in</w:t>
      </w:r>
      <w:r w:rsidRPr="00306F9C">
        <w:rPr>
          <w:b w:val="0"/>
        </w:rPr>
        <w:t xml:space="preserve"> 2013 would be estimated at 48%, instead of 22.1%</w:t>
      </w:r>
      <w:r w:rsidR="00CE24B1">
        <w:rPr>
          <w:b w:val="0"/>
        </w:rPr>
        <w:t>).</w:t>
      </w:r>
      <w:r w:rsidRPr="00306F9C">
        <w:rPr>
          <w:rStyle w:val="FootnoteReference"/>
          <w:b w:val="0"/>
        </w:rPr>
        <w:footnoteReference w:id="22"/>
      </w:r>
      <w:r w:rsidRPr="00306F9C">
        <w:rPr>
          <w:b w:val="0"/>
        </w:rPr>
        <w:t xml:space="preserve"> </w:t>
      </w:r>
      <w:r w:rsidR="00544832" w:rsidRPr="00306F9C">
        <w:rPr>
          <w:b w:val="0"/>
        </w:rPr>
        <w:t xml:space="preserve">Thus, while </w:t>
      </w:r>
      <w:r w:rsidR="00A00AEC" w:rsidRPr="00306F9C">
        <w:rPr>
          <w:b w:val="0"/>
        </w:rPr>
        <w:t>d</w:t>
      </w:r>
      <w:r w:rsidR="004502CE" w:rsidRPr="00306F9C">
        <w:rPr>
          <w:b w:val="0"/>
        </w:rPr>
        <w:t xml:space="preserve">isability benefits and pensions </w:t>
      </w:r>
      <w:r w:rsidR="00A110D0" w:rsidRPr="00306F9C">
        <w:rPr>
          <w:b w:val="0"/>
        </w:rPr>
        <w:t>have been</w:t>
      </w:r>
      <w:r w:rsidR="004502CE" w:rsidRPr="00306F9C">
        <w:rPr>
          <w:b w:val="0"/>
        </w:rPr>
        <w:t xml:space="preserve"> protected to some extent</w:t>
      </w:r>
      <w:r w:rsidR="00A110D0" w:rsidRPr="00306F9C">
        <w:rPr>
          <w:b w:val="0"/>
        </w:rPr>
        <w:t xml:space="preserve">, </w:t>
      </w:r>
      <w:r w:rsidR="00A00AEC" w:rsidRPr="00306F9C">
        <w:rPr>
          <w:b w:val="0"/>
        </w:rPr>
        <w:t>s</w:t>
      </w:r>
      <w:r w:rsidR="004502CE" w:rsidRPr="00306F9C">
        <w:rPr>
          <w:b w:val="0"/>
        </w:rPr>
        <w:t>ignificant reduc</w:t>
      </w:r>
      <w:r w:rsidR="00A00AEC" w:rsidRPr="00306F9C">
        <w:rPr>
          <w:b w:val="0"/>
        </w:rPr>
        <w:t>tions of</w:t>
      </w:r>
      <w:r w:rsidR="004502CE" w:rsidRPr="00306F9C">
        <w:rPr>
          <w:b w:val="0"/>
        </w:rPr>
        <w:t xml:space="preserve"> wages and high</w:t>
      </w:r>
      <w:r w:rsidR="00E76844" w:rsidRPr="00306F9C">
        <w:rPr>
          <w:b w:val="0"/>
        </w:rPr>
        <w:t>er</w:t>
      </w:r>
      <w:r w:rsidR="004502CE" w:rsidRPr="00306F9C">
        <w:rPr>
          <w:b w:val="0"/>
        </w:rPr>
        <w:t xml:space="preserve"> pension</w:t>
      </w:r>
      <w:r w:rsidR="00E76844" w:rsidRPr="00306F9C">
        <w:rPr>
          <w:b w:val="0"/>
        </w:rPr>
        <w:t xml:space="preserve"> rates</w:t>
      </w:r>
      <w:r w:rsidR="004502CE" w:rsidRPr="00306F9C">
        <w:rPr>
          <w:b w:val="0"/>
        </w:rPr>
        <w:t xml:space="preserve"> </w:t>
      </w:r>
      <w:r w:rsidR="00A110D0" w:rsidRPr="00306F9C">
        <w:rPr>
          <w:b w:val="0"/>
        </w:rPr>
        <w:t>have taken place</w:t>
      </w:r>
      <w:r w:rsidR="00A00AEC" w:rsidRPr="00306F9C">
        <w:rPr>
          <w:b w:val="0"/>
        </w:rPr>
        <w:t>. From a disability perspective,</w:t>
      </w:r>
      <w:r w:rsidR="00A927FF" w:rsidRPr="00306F9C">
        <w:rPr>
          <w:b w:val="0"/>
        </w:rPr>
        <w:t xml:space="preserve"> this also highlights the important role that the social security system plays in protecting </w:t>
      </w:r>
      <w:r w:rsidR="00282F2C" w:rsidRPr="00306F9C">
        <w:rPr>
          <w:b w:val="0"/>
        </w:rPr>
        <w:t xml:space="preserve">disabled individuals </w:t>
      </w:r>
      <w:r w:rsidR="00A927FF" w:rsidRPr="00306F9C">
        <w:rPr>
          <w:b w:val="0"/>
        </w:rPr>
        <w:t>against poverty.</w:t>
      </w:r>
      <w:r w:rsidRPr="00306F9C">
        <w:rPr>
          <w:b w:val="0"/>
        </w:rPr>
        <w:t xml:space="preserve"> </w:t>
      </w:r>
    </w:p>
    <w:p w:rsidR="00CE24B1" w:rsidRDefault="00FF3701" w:rsidP="00123DE3">
      <w:pPr>
        <w:pStyle w:val="Un-numberedsubheading"/>
        <w:spacing w:after="0"/>
        <w:rPr>
          <w:b w:val="0"/>
        </w:rPr>
      </w:pPr>
      <w:r w:rsidRPr="00306F9C">
        <w:rPr>
          <w:b w:val="0"/>
        </w:rPr>
        <w:lastRenderedPageBreak/>
        <w:t>It i</w:t>
      </w:r>
      <w:r w:rsidR="00681AC5" w:rsidRPr="00306F9C">
        <w:rPr>
          <w:b w:val="0"/>
        </w:rPr>
        <w:t xml:space="preserve">s especially important </w:t>
      </w:r>
      <w:r w:rsidRPr="00306F9C">
        <w:rPr>
          <w:b w:val="0"/>
        </w:rPr>
        <w:t>to</w:t>
      </w:r>
      <w:r w:rsidR="00681AC5" w:rsidRPr="00306F9C">
        <w:rPr>
          <w:b w:val="0"/>
        </w:rPr>
        <w:t xml:space="preserve"> consider</w:t>
      </w:r>
      <w:r w:rsidRPr="00306F9C">
        <w:rPr>
          <w:b w:val="0"/>
        </w:rPr>
        <w:t xml:space="preserve"> in these respects</w:t>
      </w:r>
      <w:r w:rsidR="00681AC5" w:rsidRPr="00306F9C">
        <w:rPr>
          <w:b w:val="0"/>
        </w:rPr>
        <w:t xml:space="preserve"> two more </w:t>
      </w:r>
      <w:r w:rsidRPr="00306F9C">
        <w:rPr>
          <w:b w:val="0"/>
        </w:rPr>
        <w:t xml:space="preserve">disability </w:t>
      </w:r>
      <w:r w:rsidR="00681AC5" w:rsidRPr="00306F9C">
        <w:rPr>
          <w:b w:val="0"/>
        </w:rPr>
        <w:t xml:space="preserve">groups which are not included in the EU SILC data, namely children, who are </w:t>
      </w:r>
      <w:r w:rsidRPr="00306F9C">
        <w:rPr>
          <w:b w:val="0"/>
        </w:rPr>
        <w:t xml:space="preserve">in general </w:t>
      </w:r>
      <w:r w:rsidR="00681AC5" w:rsidRPr="00306F9C">
        <w:rPr>
          <w:b w:val="0"/>
        </w:rPr>
        <w:t>facing a greater risk of poverty in comparison to the adult population in Greece</w:t>
      </w:r>
      <w:r w:rsidR="00614354" w:rsidRPr="00306F9C">
        <w:rPr>
          <w:b w:val="0"/>
        </w:rPr>
        <w:t xml:space="preserve"> (although no data exists for disabled children in specific)</w:t>
      </w:r>
      <w:r w:rsidR="00681AC5" w:rsidRPr="00306F9C">
        <w:rPr>
          <w:b w:val="0"/>
        </w:rPr>
        <w:t xml:space="preserve">, as well as people living in institutions which </w:t>
      </w:r>
      <w:r w:rsidRPr="00306F9C">
        <w:rPr>
          <w:b w:val="0"/>
        </w:rPr>
        <w:t xml:space="preserve">as </w:t>
      </w:r>
      <w:r w:rsidR="00681AC5" w:rsidRPr="00306F9C">
        <w:rPr>
          <w:b w:val="0"/>
        </w:rPr>
        <w:t>footnote</w:t>
      </w:r>
      <w:r w:rsidRPr="00306F9C">
        <w:rPr>
          <w:b w:val="0"/>
        </w:rPr>
        <w:t>d</w:t>
      </w:r>
      <w:r w:rsidR="00681AC5" w:rsidRPr="00306F9C">
        <w:rPr>
          <w:b w:val="0"/>
        </w:rPr>
        <w:t xml:space="preserve"> by the National Statistical Service “are evidently poor” (National Statistics Press</w:t>
      </w:r>
      <w:r w:rsidRPr="00306F9C">
        <w:rPr>
          <w:b w:val="0"/>
        </w:rPr>
        <w:t xml:space="preserve"> Release Poverty Risk (2015) p.2)</w:t>
      </w:r>
      <w:r w:rsidR="00AE358C">
        <w:rPr>
          <w:b w:val="0"/>
        </w:rPr>
        <w:t>.</w:t>
      </w:r>
    </w:p>
    <w:p w:rsidR="00CE24B1" w:rsidRDefault="00CE24B1" w:rsidP="00123DE3">
      <w:pPr>
        <w:pStyle w:val="Un-numberedsubheading"/>
        <w:spacing w:after="0"/>
        <w:rPr>
          <w:b w:val="0"/>
        </w:rPr>
      </w:pPr>
    </w:p>
    <w:p w:rsidR="0010423F" w:rsidRPr="00306F9C" w:rsidRDefault="0010423F" w:rsidP="00123DE3">
      <w:pPr>
        <w:pStyle w:val="Heading1"/>
        <w:rPr>
          <w:szCs w:val="24"/>
          <w:lang w:eastAsia="en-GB"/>
        </w:rPr>
      </w:pPr>
      <w:bookmarkStart w:id="30" w:name="_Toc429999646"/>
      <w:bookmarkStart w:id="31" w:name="_Toc453842121"/>
      <w:r w:rsidRPr="00306F9C">
        <w:rPr>
          <w:szCs w:val="24"/>
          <w:lang w:eastAsia="en-GB"/>
        </w:rPr>
        <w:lastRenderedPageBreak/>
        <w:t>Assessment of policies in place to meet the relevant headline targets</w:t>
      </w:r>
      <w:bookmarkEnd w:id="30"/>
      <w:bookmarkEnd w:id="31"/>
    </w:p>
    <w:p w:rsidR="00645F2A" w:rsidRPr="00306F9C" w:rsidRDefault="00645F2A" w:rsidP="00123DE3">
      <w:pPr>
        <w:rPr>
          <w:lang w:eastAsia="en-GB"/>
        </w:rPr>
      </w:pPr>
    </w:p>
    <w:p w:rsidR="00726700" w:rsidRPr="00306F9C" w:rsidRDefault="0010423F" w:rsidP="00123DE3">
      <w:pPr>
        <w:pStyle w:val="Heading2"/>
        <w:rPr>
          <w:szCs w:val="24"/>
        </w:rPr>
      </w:pPr>
      <w:bookmarkStart w:id="32" w:name="_Toc429999647"/>
      <w:bookmarkStart w:id="33" w:name="_Toc453842122"/>
      <w:r w:rsidRPr="00306F9C">
        <w:rPr>
          <w:szCs w:val="24"/>
        </w:rPr>
        <w:t>Employment</w:t>
      </w:r>
      <w:bookmarkEnd w:id="32"/>
      <w:bookmarkEnd w:id="33"/>
    </w:p>
    <w:p w:rsidR="00CE24B1" w:rsidRDefault="00CE24B1" w:rsidP="00123DE3"/>
    <w:p w:rsidR="007F6B2D" w:rsidRPr="00306F9C" w:rsidRDefault="0049592A" w:rsidP="00123DE3">
      <w:r w:rsidRPr="00306F9C">
        <w:t xml:space="preserve">As discussed earlier, </w:t>
      </w:r>
      <w:r w:rsidR="00926798" w:rsidRPr="00306F9C">
        <w:t>t</w:t>
      </w:r>
      <w:r w:rsidR="00A80F45" w:rsidRPr="00306F9C">
        <w:t xml:space="preserve">he target population of employment policies for disability </w:t>
      </w:r>
      <w:r w:rsidR="001E43E2" w:rsidRPr="00306F9C">
        <w:t xml:space="preserve">slightly exceeds </w:t>
      </w:r>
      <w:r w:rsidR="00A80F45" w:rsidRPr="00306F9C">
        <w:t>10%</w:t>
      </w:r>
      <w:r w:rsidR="00BC26B2" w:rsidRPr="00306F9C">
        <w:t>, a percentage</w:t>
      </w:r>
      <w:r w:rsidR="00EE79B5" w:rsidRPr="00306F9C">
        <w:t xml:space="preserve"> which is significant</w:t>
      </w:r>
      <w:r w:rsidR="00A80F45" w:rsidRPr="00306F9C">
        <w:t xml:space="preserve"> </w:t>
      </w:r>
      <w:r w:rsidR="001E43E2" w:rsidRPr="00306F9C">
        <w:t xml:space="preserve">both in terms of achieving equality as much as </w:t>
      </w:r>
      <w:r w:rsidR="00BC26B2" w:rsidRPr="00306F9C">
        <w:t>i</w:t>
      </w:r>
      <w:r w:rsidR="00A80F45" w:rsidRPr="00306F9C">
        <w:t>n the context of achieving the EU2020 target of</w:t>
      </w:r>
      <w:r w:rsidR="00BC26B2" w:rsidRPr="00306F9C">
        <w:t xml:space="preserve"> having</w:t>
      </w:r>
      <w:r w:rsidR="00A80F45" w:rsidRPr="00306F9C">
        <w:t xml:space="preserve"> 70% of people aged </w:t>
      </w:r>
      <w:r w:rsidR="00BC26B2" w:rsidRPr="00306F9C">
        <w:t>20</w:t>
      </w:r>
      <w:r w:rsidR="00A80F45" w:rsidRPr="00306F9C">
        <w:t xml:space="preserve">-54 </w:t>
      </w:r>
      <w:r w:rsidR="00BC26B2" w:rsidRPr="00306F9C">
        <w:t>in employment.</w:t>
      </w:r>
      <w:r w:rsidR="00CC40D0" w:rsidRPr="00306F9C">
        <w:t xml:space="preserve"> </w:t>
      </w:r>
      <w:r w:rsidRPr="00306F9C">
        <w:t xml:space="preserve">Overall, the national employment rates of disabled people in Greece have decreased significantly in the last five years of the economic crisis, whilst </w:t>
      </w:r>
      <w:r w:rsidR="00CC40D0" w:rsidRPr="00306F9C">
        <w:t>people with disabilities up to 34</w:t>
      </w:r>
      <w:r w:rsidR="00BC26B2" w:rsidRPr="00306F9C">
        <w:t xml:space="preserve"> </w:t>
      </w:r>
      <w:r w:rsidR="00CC40D0" w:rsidRPr="00306F9C">
        <w:t xml:space="preserve">years old </w:t>
      </w:r>
      <w:r w:rsidR="0000422A" w:rsidRPr="00306F9C">
        <w:t xml:space="preserve">present a main challenge as they </w:t>
      </w:r>
      <w:r w:rsidR="00CC40D0" w:rsidRPr="00306F9C">
        <w:t xml:space="preserve">face double unemployment rates in comparison with their peers in EU in average. </w:t>
      </w:r>
    </w:p>
    <w:p w:rsidR="007F6B2D" w:rsidRPr="00306F9C" w:rsidRDefault="007F6B2D" w:rsidP="00123DE3"/>
    <w:p w:rsidR="00D736AA" w:rsidRPr="00306F9C" w:rsidRDefault="007F6B2D" w:rsidP="00123DE3">
      <w:r w:rsidRPr="00306F9C">
        <w:t>High youth unemployment in the country has indeed constituted a major priority in the country</w:t>
      </w:r>
      <w:r w:rsidRPr="00306F9C">
        <w:rPr>
          <w:rStyle w:val="FootnoteReference"/>
        </w:rPr>
        <w:footnoteReference w:id="23"/>
      </w:r>
      <w:r w:rsidR="00491FB4" w:rsidRPr="00306F9C">
        <w:t xml:space="preserve"> however</w:t>
      </w:r>
      <w:r w:rsidR="00D736AA" w:rsidRPr="00306F9C">
        <w:t xml:space="preserve"> youth labour policies </w:t>
      </w:r>
      <w:r w:rsidR="005C6DEA" w:rsidRPr="00306F9C">
        <w:t xml:space="preserve">implemented so far (Programming Period 2007-2014) </w:t>
      </w:r>
      <w:r w:rsidR="00D736AA" w:rsidRPr="00306F9C">
        <w:t>have not specifically addressed disability</w:t>
      </w:r>
      <w:r w:rsidR="00491FB4" w:rsidRPr="00306F9C">
        <w:t xml:space="preserve">. </w:t>
      </w:r>
      <w:r w:rsidR="00D736AA" w:rsidRPr="00306F9C">
        <w:t xml:space="preserve">Similarly, unemployed people with disabilities have only just been included in a call </w:t>
      </w:r>
      <w:r w:rsidR="00D736AA" w:rsidRPr="00306F9C">
        <w:rPr>
          <w:lang w:val="en-US"/>
        </w:rPr>
        <w:t>for</w:t>
      </w:r>
      <w:r w:rsidR="00D736AA" w:rsidRPr="00306F9C">
        <w:t xml:space="preserve"> </w:t>
      </w:r>
      <w:r w:rsidR="00D736AA" w:rsidRPr="00306F9C">
        <w:rPr>
          <w:lang w:val="en-US"/>
        </w:rPr>
        <w:t>applications</w:t>
      </w:r>
      <w:r w:rsidR="00D736AA" w:rsidRPr="00306F9C">
        <w:t xml:space="preserve"> </w:t>
      </w:r>
      <w:r w:rsidR="00D736AA" w:rsidRPr="00306F9C">
        <w:rPr>
          <w:lang w:val="en-US"/>
        </w:rPr>
        <w:t>under</w:t>
      </w:r>
      <w:r w:rsidR="00D736AA" w:rsidRPr="00306F9C">
        <w:t xml:space="preserve"> </w:t>
      </w:r>
      <w:r w:rsidR="00D736AA" w:rsidRPr="00306F9C">
        <w:rPr>
          <w:lang w:val="en-US"/>
        </w:rPr>
        <w:t>the</w:t>
      </w:r>
      <w:r w:rsidR="00D736AA" w:rsidRPr="00306F9C">
        <w:t xml:space="preserve"> </w:t>
      </w:r>
      <w:r w:rsidR="00D736AA" w:rsidRPr="00306F9C">
        <w:rPr>
          <w:i/>
        </w:rPr>
        <w:t xml:space="preserve">five </w:t>
      </w:r>
      <w:r w:rsidR="00D736AA" w:rsidRPr="00306F9C">
        <w:rPr>
          <w:i/>
          <w:lang w:val="en-US"/>
        </w:rPr>
        <w:t>month</w:t>
      </w:r>
      <w:r w:rsidR="00D736AA" w:rsidRPr="00306F9C">
        <w:rPr>
          <w:i/>
        </w:rPr>
        <w:t xml:space="preserve"> </w:t>
      </w:r>
      <w:r w:rsidR="00D736AA" w:rsidRPr="00306F9C">
        <w:rPr>
          <w:i/>
          <w:lang w:val="en-US"/>
        </w:rPr>
        <w:t>employment</w:t>
      </w:r>
      <w:r w:rsidR="00D736AA" w:rsidRPr="00306F9C">
        <w:rPr>
          <w:i/>
        </w:rPr>
        <w:t xml:space="preserve"> </w:t>
      </w:r>
      <w:r w:rsidR="00D736AA" w:rsidRPr="00306F9C">
        <w:rPr>
          <w:i/>
          <w:lang w:val="en-US"/>
        </w:rPr>
        <w:t>scheme at local authorities</w:t>
      </w:r>
      <w:r w:rsidR="00D736AA" w:rsidRPr="00306F9C">
        <w:rPr>
          <w:lang w:val="en-US"/>
        </w:rPr>
        <w:t xml:space="preserve"> launched end of August</w:t>
      </w:r>
      <w:r w:rsidR="00FA2675" w:rsidRPr="00306F9C">
        <w:rPr>
          <w:lang w:val="en-US"/>
        </w:rPr>
        <w:t xml:space="preserve"> 2015 </w:t>
      </w:r>
      <w:r w:rsidR="00D736AA" w:rsidRPr="00306F9C">
        <w:rPr>
          <w:lang w:val="en-US"/>
        </w:rPr>
        <w:t>for 19100 unemployed individuals</w:t>
      </w:r>
      <w:r w:rsidR="00D736AA" w:rsidRPr="00CE24B1">
        <w:rPr>
          <w:rStyle w:val="FootnoteReference"/>
        </w:rPr>
        <w:footnoteReference w:id="24"/>
      </w:r>
      <w:r w:rsidR="00D736AA" w:rsidRPr="00306F9C">
        <w:rPr>
          <w:lang w:val="en-US"/>
        </w:rPr>
        <w:t xml:space="preserve"> the third ca</w:t>
      </w:r>
      <w:r w:rsidR="00FA2675" w:rsidRPr="00306F9C">
        <w:rPr>
          <w:lang w:val="en-US"/>
        </w:rPr>
        <w:t>ll of this kind this year</w:t>
      </w:r>
      <w:r w:rsidR="00D736AA" w:rsidRPr="00306F9C">
        <w:rPr>
          <w:lang w:val="en-US"/>
        </w:rPr>
        <w:t>. Disabled</w:t>
      </w:r>
      <w:r w:rsidR="00D736AA" w:rsidRPr="00306F9C">
        <w:t xml:space="preserve"> </w:t>
      </w:r>
      <w:r w:rsidR="00D736AA" w:rsidRPr="00306F9C">
        <w:rPr>
          <w:lang w:val="en-US"/>
        </w:rPr>
        <w:t>individuals</w:t>
      </w:r>
      <w:r w:rsidR="00D736AA" w:rsidRPr="00306F9C">
        <w:t xml:space="preserve"> </w:t>
      </w:r>
      <w:r w:rsidR="00D736AA" w:rsidRPr="00306F9C">
        <w:rPr>
          <w:lang w:val="en-US"/>
        </w:rPr>
        <w:t>were not targeted</w:t>
      </w:r>
      <w:r w:rsidR="00D736AA" w:rsidRPr="00306F9C">
        <w:t xml:space="preserve"> </w:t>
      </w:r>
      <w:r w:rsidR="00D736AA" w:rsidRPr="00306F9C">
        <w:rPr>
          <w:lang w:val="en-US"/>
        </w:rPr>
        <w:t>in</w:t>
      </w:r>
      <w:r w:rsidR="00D736AA" w:rsidRPr="00306F9C">
        <w:t xml:space="preserve"> </w:t>
      </w:r>
      <w:r w:rsidR="00D736AA" w:rsidRPr="00306F9C">
        <w:rPr>
          <w:lang w:val="en-US"/>
        </w:rPr>
        <w:t>the</w:t>
      </w:r>
      <w:r w:rsidR="00D736AA" w:rsidRPr="00306F9C">
        <w:t xml:space="preserve"> </w:t>
      </w:r>
      <w:r w:rsidR="00D736AA" w:rsidRPr="00306F9C">
        <w:rPr>
          <w:lang w:val="en-US"/>
        </w:rPr>
        <w:t>previous</w:t>
      </w:r>
      <w:r w:rsidR="00D736AA" w:rsidRPr="00306F9C">
        <w:t xml:space="preserve"> </w:t>
      </w:r>
      <w:r w:rsidR="00D736AA" w:rsidRPr="00306F9C">
        <w:rPr>
          <w:lang w:val="en-US"/>
        </w:rPr>
        <w:t>two</w:t>
      </w:r>
      <w:r w:rsidR="00D736AA" w:rsidRPr="00306F9C">
        <w:t xml:space="preserve"> </w:t>
      </w:r>
      <w:r w:rsidR="00D736AA" w:rsidRPr="00306F9C">
        <w:rPr>
          <w:lang w:val="en-US"/>
        </w:rPr>
        <w:t>calls</w:t>
      </w:r>
      <w:r w:rsidR="00D736AA" w:rsidRPr="00306F9C">
        <w:t xml:space="preserve"> (32,433 </w:t>
      </w:r>
      <w:r w:rsidR="00D736AA" w:rsidRPr="00306F9C">
        <w:rPr>
          <w:lang w:val="en-US"/>
        </w:rPr>
        <w:t>placements</w:t>
      </w:r>
      <w:r w:rsidR="00D736AA" w:rsidRPr="00306F9C">
        <w:t xml:space="preserve"> in </w:t>
      </w:r>
      <w:r w:rsidR="00D736AA" w:rsidRPr="00306F9C">
        <w:rPr>
          <w:lang w:val="en-US"/>
        </w:rPr>
        <w:t>April</w:t>
      </w:r>
      <w:r w:rsidR="00D736AA" w:rsidRPr="00306F9C">
        <w:t xml:space="preserve"> 2015</w:t>
      </w:r>
      <w:r w:rsidR="00D736AA" w:rsidRPr="00306F9C">
        <w:rPr>
          <w:rStyle w:val="FootnoteReference"/>
          <w:lang w:val="en-US"/>
        </w:rPr>
        <w:footnoteReference w:id="25"/>
      </w:r>
      <w:r w:rsidR="00D736AA" w:rsidRPr="00306F9C">
        <w:rPr>
          <w:lang w:val="en-US"/>
        </w:rPr>
        <w:t xml:space="preserve"> and</w:t>
      </w:r>
      <w:r w:rsidR="00D736AA" w:rsidRPr="00306F9C">
        <w:t xml:space="preserve"> 2,417 in </w:t>
      </w:r>
      <w:r w:rsidR="00D736AA" w:rsidRPr="00306F9C">
        <w:rPr>
          <w:lang w:val="en-US"/>
        </w:rPr>
        <w:t>July</w:t>
      </w:r>
      <w:r w:rsidR="00D736AA" w:rsidRPr="00306F9C">
        <w:t xml:space="preserve"> 2015</w:t>
      </w:r>
      <w:r w:rsidR="00CE24B1">
        <w:t>).</w:t>
      </w:r>
      <w:r w:rsidR="00D736AA" w:rsidRPr="00306F9C">
        <w:rPr>
          <w:rStyle w:val="FootnoteReference"/>
        </w:rPr>
        <w:footnoteReference w:id="26"/>
      </w:r>
      <w:r w:rsidR="00D736AA" w:rsidRPr="00306F9C">
        <w:t xml:space="preserve"> Although people with </w:t>
      </w:r>
      <w:r w:rsidR="00A76C56" w:rsidRPr="00306F9C">
        <w:t>disabilities can indeed apply to</w:t>
      </w:r>
      <w:r w:rsidR="00D736AA" w:rsidRPr="00306F9C">
        <w:t xml:space="preserve"> </w:t>
      </w:r>
      <w:r w:rsidR="005C6DEA" w:rsidRPr="00306F9C">
        <w:t>“</w:t>
      </w:r>
      <w:r w:rsidR="00D736AA" w:rsidRPr="00306F9C">
        <w:t>mainstream</w:t>
      </w:r>
      <w:r w:rsidR="005C6DEA" w:rsidRPr="00306F9C">
        <w:t>”</w:t>
      </w:r>
      <w:r w:rsidR="00D736AA" w:rsidRPr="00306F9C">
        <w:t xml:space="preserve"> programs</w:t>
      </w:r>
      <w:r w:rsidR="005C6DEA" w:rsidRPr="00306F9C">
        <w:t xml:space="preserve"> as they target the long-term unemployed</w:t>
      </w:r>
      <w:r w:rsidR="00D736AA" w:rsidRPr="00306F9C">
        <w:t xml:space="preserve">, omission of disability among other social priority criteria (such as family status, or length of unemployment), especially in the current context of high unemployment, means that in practice these programs cannot ensure </w:t>
      </w:r>
      <w:r w:rsidR="00652E9A" w:rsidRPr="00306F9C">
        <w:t>access to employment opportunities for people with disabilities collectively.</w:t>
      </w:r>
    </w:p>
    <w:p w:rsidR="00EF4C12" w:rsidRPr="00306F9C" w:rsidRDefault="00EF4C12" w:rsidP="00123DE3"/>
    <w:p w:rsidR="00804F4F" w:rsidRPr="00306F9C" w:rsidRDefault="00EF4C12" w:rsidP="00123DE3">
      <w:r w:rsidRPr="00306F9C">
        <w:t>Indeed, the participation rate of people with disabilities has been very low even in active labour policies designed specifically for “socially vulnerable groups”</w:t>
      </w:r>
      <w:r w:rsidR="00FA2675" w:rsidRPr="00306F9C">
        <w:t xml:space="preserve"> in the programming period 2007-2014</w:t>
      </w:r>
      <w:r w:rsidR="000018F3" w:rsidRPr="00306F9C">
        <w:rPr>
          <w:rStyle w:val="FootnoteReference"/>
        </w:rPr>
        <w:footnoteReference w:id="27"/>
      </w:r>
      <w:r w:rsidR="003325AC" w:rsidRPr="00306F9C">
        <w:t xml:space="preserve"> as the intermediate evaluations (ESF Operational Program Human Resources) have evidenced</w:t>
      </w:r>
      <w:r w:rsidR="00E62A9C">
        <w:t>.</w:t>
      </w:r>
      <w:r w:rsidR="003325AC" w:rsidRPr="00306F9C">
        <w:rPr>
          <w:rStyle w:val="FootnoteReference"/>
        </w:rPr>
        <w:footnoteReference w:id="28"/>
      </w:r>
      <w:r w:rsidRPr="00306F9C">
        <w:t xml:space="preserve"> </w:t>
      </w:r>
      <w:r w:rsidR="00804F4F" w:rsidRPr="00306F9C">
        <w:t xml:space="preserve">It is very welcome indeed that this is acknowledged in the National Reform Program (2015) when discussing “measures targeted to vulnerable population groups” as part of </w:t>
      </w:r>
      <w:r w:rsidR="00EC77D2" w:rsidRPr="00306F9C">
        <w:t xml:space="preserve">planned </w:t>
      </w:r>
      <w:r w:rsidR="00804F4F" w:rsidRPr="00306F9C">
        <w:t>labour reforms. In specific, it is mentioned that “</w:t>
      </w:r>
      <w:r w:rsidR="00804F4F" w:rsidRPr="00306F9C">
        <w:rPr>
          <w:i/>
        </w:rPr>
        <w:t>the Ministry of Labour shall ensure that the proportion of people with disabilities in employment programmes will be increased for the forthcoming time”</w:t>
      </w:r>
      <w:r w:rsidR="00804F4F" w:rsidRPr="00306F9C">
        <w:t xml:space="preserve">. </w:t>
      </w:r>
      <w:r w:rsidR="00EC77D2" w:rsidRPr="00306F9C">
        <w:t>(NRP 2015, p. 48)</w:t>
      </w:r>
    </w:p>
    <w:p w:rsidR="002E1C97" w:rsidRPr="00306F9C" w:rsidRDefault="00EC77D2" w:rsidP="00123DE3">
      <w:r w:rsidRPr="00306F9C">
        <w:lastRenderedPageBreak/>
        <w:t xml:space="preserve">However, the NRP does not include any targets or specific measures of how this can be achieved, nor does it make any reference or connections with </w:t>
      </w:r>
      <w:r w:rsidR="002E1C97" w:rsidRPr="00306F9C">
        <w:t xml:space="preserve">actions planned </w:t>
      </w:r>
      <w:r w:rsidRPr="00306F9C">
        <w:t xml:space="preserve">under the new programming period. </w:t>
      </w:r>
      <w:r w:rsidR="004C4C38" w:rsidRPr="00306F9C">
        <w:t>It is in addition necessary</w:t>
      </w:r>
      <w:r w:rsidR="002E1C97" w:rsidRPr="00306F9C">
        <w:t xml:space="preserve"> to monitor how such programs </w:t>
      </w:r>
      <w:r w:rsidR="008E4354" w:rsidRPr="00306F9C">
        <w:t xml:space="preserve">will </w:t>
      </w:r>
      <w:r w:rsidR="002E1C97" w:rsidRPr="00306F9C">
        <w:t>impact on employment/unemployment rates of people with disabilities and to what extent</w:t>
      </w:r>
      <w:r w:rsidR="00E95665" w:rsidRPr="00306F9C">
        <w:t xml:space="preserve">, which has been missing so far. </w:t>
      </w:r>
      <w:r w:rsidR="002E1C97" w:rsidRPr="00306F9C">
        <w:t xml:space="preserve"> </w:t>
      </w:r>
    </w:p>
    <w:p w:rsidR="002E1C97" w:rsidRPr="00306F9C" w:rsidRDefault="002E1C97" w:rsidP="00123DE3"/>
    <w:p w:rsidR="00D736AA" w:rsidRPr="00306F9C" w:rsidRDefault="008E4354" w:rsidP="00123DE3">
      <w:r w:rsidRPr="00306F9C">
        <w:rPr>
          <w:lang w:val="en-US"/>
        </w:rPr>
        <w:t>T</w:t>
      </w:r>
      <w:r w:rsidR="002E1C97" w:rsidRPr="00306F9C">
        <w:rPr>
          <w:lang w:val="en-US"/>
        </w:rPr>
        <w:t>he National Strategic Framework for Social Inclusion</w:t>
      </w:r>
      <w:r w:rsidRPr="00306F9C">
        <w:rPr>
          <w:lang w:val="en-US"/>
        </w:rPr>
        <w:t xml:space="preserve"> (2015 p. 69) complementing the</w:t>
      </w:r>
      <w:r w:rsidR="002E1C97" w:rsidRPr="00306F9C">
        <w:rPr>
          <w:lang w:val="en-US"/>
        </w:rPr>
        <w:t xml:space="preserve"> NRF</w:t>
      </w:r>
      <w:r w:rsidRPr="00306F9C">
        <w:rPr>
          <w:lang w:val="en-US"/>
        </w:rPr>
        <w:t xml:space="preserve"> 2015</w:t>
      </w:r>
      <w:r w:rsidR="002E1C97" w:rsidRPr="00306F9C">
        <w:rPr>
          <w:lang w:val="en-US"/>
        </w:rPr>
        <w:t>,</w:t>
      </w:r>
      <w:r w:rsidRPr="00306F9C">
        <w:rPr>
          <w:lang w:val="en-US"/>
        </w:rPr>
        <w:t xml:space="preserve"> adds emphasis </w:t>
      </w:r>
      <w:r w:rsidR="00A76C56" w:rsidRPr="00306F9C">
        <w:rPr>
          <w:lang w:val="en-US"/>
        </w:rPr>
        <w:t>to</w:t>
      </w:r>
      <w:r w:rsidR="002E1C97" w:rsidRPr="00306F9C">
        <w:rPr>
          <w:lang w:val="en-US"/>
        </w:rPr>
        <w:t xml:space="preserve"> improving access to lifelong learning programs, active </w:t>
      </w:r>
      <w:proofErr w:type="spellStart"/>
      <w:r w:rsidR="002E1C97" w:rsidRPr="00306F9C">
        <w:rPr>
          <w:lang w:val="en-US"/>
        </w:rPr>
        <w:t>labour</w:t>
      </w:r>
      <w:proofErr w:type="spellEnd"/>
      <w:r w:rsidR="002E1C97" w:rsidRPr="00306F9C">
        <w:rPr>
          <w:lang w:val="en-US"/>
        </w:rPr>
        <w:t xml:space="preserve"> policies and social entrepreneurship programs </w:t>
      </w:r>
      <w:r w:rsidRPr="00306F9C">
        <w:rPr>
          <w:lang w:val="en-US"/>
        </w:rPr>
        <w:t>which will form part of the main actions under the new funding period</w:t>
      </w:r>
      <w:r w:rsidR="002E1C97" w:rsidRPr="00306F9C">
        <w:rPr>
          <w:lang w:val="en-US"/>
        </w:rPr>
        <w:t xml:space="preserve">. Under the same strategic </w:t>
      </w:r>
      <w:r w:rsidR="00B928A1" w:rsidRPr="00306F9C">
        <w:rPr>
          <w:lang w:val="en-US"/>
        </w:rPr>
        <w:t xml:space="preserve">priority </w:t>
      </w:r>
      <w:r w:rsidR="002E1C97" w:rsidRPr="00306F9C">
        <w:rPr>
          <w:lang w:val="en-US"/>
        </w:rPr>
        <w:t>of a “</w:t>
      </w:r>
      <w:proofErr w:type="spellStart"/>
      <w:r w:rsidR="002E1C97" w:rsidRPr="00306F9C">
        <w:rPr>
          <w:lang w:val="en-US"/>
        </w:rPr>
        <w:t>labour</w:t>
      </w:r>
      <w:proofErr w:type="spellEnd"/>
      <w:r w:rsidR="002E1C97" w:rsidRPr="00306F9C">
        <w:rPr>
          <w:lang w:val="en-US"/>
        </w:rPr>
        <w:t xml:space="preserve"> market without exclusions”, further set</w:t>
      </w:r>
      <w:r w:rsidR="00B928A1" w:rsidRPr="00306F9C">
        <w:rPr>
          <w:lang w:val="en-US"/>
        </w:rPr>
        <w:t>s</w:t>
      </w:r>
      <w:r w:rsidR="002E1C97" w:rsidRPr="00306F9C">
        <w:rPr>
          <w:lang w:val="en-US"/>
        </w:rPr>
        <w:t xml:space="preserve"> of measures</w:t>
      </w:r>
      <w:r w:rsidR="00B928A1" w:rsidRPr="00306F9C">
        <w:rPr>
          <w:lang w:val="en-US"/>
        </w:rPr>
        <w:t>,</w:t>
      </w:r>
      <w:r w:rsidR="002E1C97" w:rsidRPr="00306F9C">
        <w:rPr>
          <w:lang w:val="en-US"/>
        </w:rPr>
        <w:t xml:space="preserve"> relevant to disability</w:t>
      </w:r>
      <w:r w:rsidR="00B928A1" w:rsidRPr="00306F9C">
        <w:rPr>
          <w:lang w:val="en-US"/>
        </w:rPr>
        <w:t xml:space="preserve"> specific</w:t>
      </w:r>
      <w:r w:rsidR="00A76C56" w:rsidRPr="00306F9C">
        <w:rPr>
          <w:lang w:val="en-US"/>
        </w:rPr>
        <w:t>ally</w:t>
      </w:r>
      <w:r w:rsidR="00B928A1" w:rsidRPr="00306F9C">
        <w:rPr>
          <w:lang w:val="en-US"/>
        </w:rPr>
        <w:t>,</w:t>
      </w:r>
      <w:r w:rsidR="002E1C97" w:rsidRPr="00306F9C">
        <w:rPr>
          <w:lang w:val="en-US"/>
        </w:rPr>
        <w:t xml:space="preserve"> include securing access to basic community based services, home help services and promoting de-</w:t>
      </w:r>
      <w:proofErr w:type="spellStart"/>
      <w:r w:rsidR="002E1C97" w:rsidRPr="00306F9C">
        <w:rPr>
          <w:lang w:val="en-US"/>
        </w:rPr>
        <w:t>institutionalisation</w:t>
      </w:r>
      <w:proofErr w:type="spellEnd"/>
      <w:r w:rsidR="002E1C97" w:rsidRPr="00306F9C">
        <w:rPr>
          <w:lang w:val="en-US"/>
        </w:rPr>
        <w:t xml:space="preserve">. </w:t>
      </w:r>
      <w:r w:rsidRPr="00306F9C">
        <w:rPr>
          <w:lang w:val="en-US"/>
        </w:rPr>
        <w:t>It is particularly welcome</w:t>
      </w:r>
      <w:r w:rsidR="002B7B89" w:rsidRPr="00306F9C">
        <w:rPr>
          <w:lang w:val="en-US"/>
        </w:rPr>
        <w:t xml:space="preserve"> that on a strategic planning level at least, </w:t>
      </w:r>
      <w:r w:rsidR="00551303" w:rsidRPr="00306F9C">
        <w:rPr>
          <w:lang w:val="en-US"/>
        </w:rPr>
        <w:t>specific</w:t>
      </w:r>
      <w:r w:rsidR="00D736AA" w:rsidRPr="00306F9C">
        <w:t xml:space="preserve"> actions addressing</w:t>
      </w:r>
      <w:r w:rsidR="00551303" w:rsidRPr="00306F9C">
        <w:t xml:space="preserve"> wider disability </w:t>
      </w:r>
      <w:r w:rsidR="00D736AA" w:rsidRPr="00306F9C">
        <w:t xml:space="preserve">obstacles in accessing </w:t>
      </w:r>
      <w:r w:rsidR="00551303" w:rsidRPr="00306F9C">
        <w:t>employment</w:t>
      </w:r>
      <w:r w:rsidR="00D736AA" w:rsidRPr="00306F9C">
        <w:t xml:space="preserve"> </w:t>
      </w:r>
      <w:r w:rsidR="00551303" w:rsidRPr="00306F9C">
        <w:t xml:space="preserve">have </w:t>
      </w:r>
      <w:r w:rsidRPr="00306F9C">
        <w:t>become more prominent in an interconnected</w:t>
      </w:r>
      <w:r w:rsidR="00D736AA" w:rsidRPr="00306F9C">
        <w:t xml:space="preserve"> employment</w:t>
      </w:r>
      <w:r w:rsidRPr="00306F9C">
        <w:t>/ social inclusion</w:t>
      </w:r>
      <w:r w:rsidR="00D736AA" w:rsidRPr="00306F9C">
        <w:t xml:space="preserve"> policy</w:t>
      </w:r>
      <w:r w:rsidRPr="00306F9C">
        <w:t xml:space="preserve"> framework</w:t>
      </w:r>
      <w:r w:rsidR="00D736AA" w:rsidRPr="00306F9C">
        <w:t>.</w:t>
      </w:r>
      <w:r w:rsidR="00551303" w:rsidRPr="00306F9C">
        <w:t xml:space="preserve"> </w:t>
      </w:r>
    </w:p>
    <w:p w:rsidR="00A80F45" w:rsidRPr="00306F9C" w:rsidRDefault="00A80F45" w:rsidP="00123DE3"/>
    <w:p w:rsidR="00044994" w:rsidRPr="00306F9C" w:rsidRDefault="000E71BE" w:rsidP="00123DE3">
      <w:r w:rsidRPr="00306F9C">
        <w:t xml:space="preserve">A positive new development in that direction is for instance </w:t>
      </w:r>
      <w:r w:rsidR="00084743" w:rsidRPr="00306F9C">
        <w:t>recent legislation (</w:t>
      </w:r>
      <w:r w:rsidR="00084743" w:rsidRPr="00306F9C">
        <w:rPr>
          <w:lang w:val="en-US"/>
        </w:rPr>
        <w:t>Art. 13 Law 4331/2015</w:t>
      </w:r>
      <w:r w:rsidR="00E62A9C">
        <w:rPr>
          <w:lang w:val="en-US"/>
        </w:rPr>
        <w:t>)</w:t>
      </w:r>
      <w:r w:rsidR="00544832" w:rsidRPr="00306F9C">
        <w:rPr>
          <w:rStyle w:val="FootnoteReference"/>
          <w:lang w:val="en-US"/>
        </w:rPr>
        <w:footnoteReference w:id="29"/>
      </w:r>
      <w:r w:rsidR="00084743" w:rsidRPr="00306F9C">
        <w:rPr>
          <w:lang w:val="en-US"/>
        </w:rPr>
        <w:t xml:space="preserve"> which secures continuity of disability welfare benefits provision whilst participating in ALP programs, including Social Entrepreneurship </w:t>
      </w:r>
      <w:r w:rsidR="00324689" w:rsidRPr="00306F9C">
        <w:rPr>
          <w:lang w:val="en-US"/>
        </w:rPr>
        <w:t>and Vocational Training schemes</w:t>
      </w:r>
      <w:r w:rsidR="00084743" w:rsidRPr="00306F9C">
        <w:rPr>
          <w:lang w:val="en-US"/>
        </w:rPr>
        <w:t xml:space="preserve">. </w:t>
      </w:r>
      <w:r w:rsidR="00E05CA8" w:rsidRPr="00306F9C">
        <w:rPr>
          <w:lang w:val="en-US"/>
        </w:rPr>
        <w:t xml:space="preserve"> </w:t>
      </w:r>
    </w:p>
    <w:p w:rsidR="0010423F" w:rsidRPr="00306F9C" w:rsidRDefault="0010423F" w:rsidP="00123DE3"/>
    <w:p w:rsidR="0010423F" w:rsidRPr="00306F9C" w:rsidRDefault="0010423F" w:rsidP="00123DE3">
      <w:pPr>
        <w:pStyle w:val="Heading2"/>
        <w:rPr>
          <w:szCs w:val="24"/>
        </w:rPr>
      </w:pPr>
      <w:bookmarkStart w:id="34" w:name="_Toc429999648"/>
      <w:bookmarkStart w:id="35" w:name="_Toc453842123"/>
      <w:r w:rsidRPr="00306F9C">
        <w:rPr>
          <w:szCs w:val="24"/>
        </w:rPr>
        <w:t>Education</w:t>
      </w:r>
      <w:bookmarkEnd w:id="34"/>
      <w:bookmarkEnd w:id="35"/>
    </w:p>
    <w:p w:rsidR="00E62A9C" w:rsidRDefault="00E62A9C" w:rsidP="00123DE3"/>
    <w:p w:rsidR="006D3D56" w:rsidRPr="00306F9C" w:rsidRDefault="007F5FC0" w:rsidP="00123DE3">
      <w:r w:rsidRPr="00306F9C">
        <w:t xml:space="preserve">In the field of education of pupils with disabilities, very little progress has been made in terms of improving </w:t>
      </w:r>
      <w:r w:rsidR="00E91A02" w:rsidRPr="00306F9C">
        <w:t xml:space="preserve">the </w:t>
      </w:r>
      <w:r w:rsidRPr="00306F9C">
        <w:t>policy</w:t>
      </w:r>
      <w:r w:rsidR="00E91A02" w:rsidRPr="00306F9C">
        <w:t xml:space="preserve"> framework</w:t>
      </w:r>
      <w:r w:rsidRPr="00306F9C">
        <w:t xml:space="preserve"> and implementing reforms</w:t>
      </w:r>
      <w:r w:rsidR="00A76C56" w:rsidRPr="00306F9C">
        <w:t xml:space="preserve"> which have been rather over</w:t>
      </w:r>
      <w:r w:rsidR="00E91A02" w:rsidRPr="00306F9C">
        <w:t>due</w:t>
      </w:r>
      <w:r w:rsidR="00E62A9C">
        <w:t>.</w:t>
      </w:r>
      <w:r w:rsidR="000229A7" w:rsidRPr="00306F9C">
        <w:rPr>
          <w:rStyle w:val="FootnoteReference"/>
        </w:rPr>
        <w:footnoteReference w:id="30"/>
      </w:r>
      <w:r w:rsidRPr="00306F9C">
        <w:t xml:space="preserve"> </w:t>
      </w:r>
      <w:r w:rsidR="006D3D56" w:rsidRPr="00306F9C">
        <w:t xml:space="preserve">There remain commitments to a renewed legislative framework for special education, which </w:t>
      </w:r>
      <w:r w:rsidR="00C40E60" w:rsidRPr="00306F9C">
        <w:t>will convert Special Education School Units into Support Centres as well as</w:t>
      </w:r>
      <w:r w:rsidR="006D3D56" w:rsidRPr="00306F9C">
        <w:t xml:space="preserve"> the p</w:t>
      </w:r>
      <w:r w:rsidR="00C40E60" w:rsidRPr="00306F9C">
        <w:t>roduction of accessible educational and teaching aids</w:t>
      </w:r>
      <w:r w:rsidR="00C40030" w:rsidRPr="00306F9C">
        <w:t>, and the use of ICT for supporting individual needs</w:t>
      </w:r>
      <w:r w:rsidR="00C40E60" w:rsidRPr="00306F9C">
        <w:t xml:space="preserve"> (NRP 2015, p. 31).</w:t>
      </w:r>
    </w:p>
    <w:p w:rsidR="007F5FC0" w:rsidRPr="00306F9C" w:rsidRDefault="007F5FC0" w:rsidP="00123DE3"/>
    <w:p w:rsidR="00C40E60" w:rsidRDefault="00463761" w:rsidP="00123DE3">
      <w:r w:rsidRPr="00306F9C">
        <w:t xml:space="preserve">In fact, </w:t>
      </w:r>
      <w:r w:rsidR="00C40E60" w:rsidRPr="00306F9C">
        <w:t xml:space="preserve">the NRP 2015 pays extensive attention to issues in </w:t>
      </w:r>
      <w:r w:rsidR="005522D4" w:rsidRPr="00306F9C">
        <w:t xml:space="preserve">primary and secondary </w:t>
      </w:r>
      <w:r w:rsidR="00C40E60" w:rsidRPr="00306F9C">
        <w:t>education</w:t>
      </w:r>
      <w:r w:rsidRPr="00306F9C">
        <w:t>,</w:t>
      </w:r>
      <w:r w:rsidR="006B0C83" w:rsidRPr="00306F9C">
        <w:t xml:space="preserve"> </w:t>
      </w:r>
      <w:r w:rsidR="00C5598A" w:rsidRPr="00306F9C">
        <w:t>a lot</w:t>
      </w:r>
      <w:r w:rsidR="006B0C83" w:rsidRPr="00306F9C">
        <w:t xml:space="preserve"> of which are equally relevant to disability, such as:</w:t>
      </w:r>
      <w:r w:rsidRPr="00306F9C">
        <w:t xml:space="preserve"> </w:t>
      </w:r>
    </w:p>
    <w:p w:rsidR="00E62A9C" w:rsidRPr="00306F9C" w:rsidRDefault="00E62A9C" w:rsidP="00123DE3"/>
    <w:p w:rsidR="00C40E60" w:rsidRPr="00306F9C" w:rsidRDefault="00C40E60" w:rsidP="0019365D">
      <w:pPr>
        <w:pStyle w:val="ListParagraph"/>
        <w:numPr>
          <w:ilvl w:val="0"/>
          <w:numId w:val="28"/>
        </w:numPr>
        <w:ind w:left="567" w:hanging="567"/>
      </w:pPr>
      <w:r w:rsidRPr="00306F9C">
        <w:t>Adoption of a national strategic policy framework for early school leaving (ESL) which also “focuses especially on socially vulnerable groups” (p. 28-29)</w:t>
      </w:r>
      <w:r w:rsidR="0019365D">
        <w:t>.</w:t>
      </w:r>
    </w:p>
    <w:p w:rsidR="00C40E60" w:rsidRPr="00306F9C" w:rsidRDefault="00C40E60" w:rsidP="0019365D">
      <w:pPr>
        <w:pStyle w:val="ListParagraph"/>
        <w:numPr>
          <w:ilvl w:val="0"/>
          <w:numId w:val="28"/>
        </w:numPr>
        <w:ind w:left="567" w:hanging="567"/>
      </w:pPr>
      <w:r w:rsidRPr="00306F9C">
        <w:t>Development of the “Digital School” with comprehensive digital services and enriched educational material</w:t>
      </w:r>
      <w:r w:rsidR="00C5598A" w:rsidRPr="00306F9C">
        <w:t xml:space="preserve"> (p.29)</w:t>
      </w:r>
      <w:r w:rsidR="0019365D">
        <w:t>.</w:t>
      </w:r>
    </w:p>
    <w:p w:rsidR="00C40E60" w:rsidRPr="00306F9C" w:rsidRDefault="00C40E60" w:rsidP="0019365D">
      <w:pPr>
        <w:pStyle w:val="ListParagraph"/>
        <w:numPr>
          <w:ilvl w:val="0"/>
          <w:numId w:val="28"/>
        </w:numPr>
        <w:ind w:left="567" w:hanging="567"/>
      </w:pPr>
      <w:r w:rsidRPr="00306F9C">
        <w:t>Apprenticeship programmes for Technical Education Graduates</w:t>
      </w:r>
      <w:r w:rsidR="00463761" w:rsidRPr="00306F9C">
        <w:rPr>
          <w:rStyle w:val="FootnoteReference"/>
        </w:rPr>
        <w:footnoteReference w:id="31"/>
      </w:r>
      <w:r w:rsidR="00C5598A" w:rsidRPr="00306F9C">
        <w:t xml:space="preserve"> (p. 30)</w:t>
      </w:r>
    </w:p>
    <w:p w:rsidR="00C40E60" w:rsidRPr="00306F9C" w:rsidRDefault="00C40E60" w:rsidP="0019365D">
      <w:pPr>
        <w:pStyle w:val="ListParagraph"/>
        <w:numPr>
          <w:ilvl w:val="0"/>
          <w:numId w:val="28"/>
        </w:numPr>
        <w:ind w:left="567" w:hanging="567"/>
      </w:pPr>
      <w:r w:rsidRPr="00306F9C">
        <w:t>CPD for teachers, including themes such as social inequalities (p. 30)</w:t>
      </w:r>
      <w:r w:rsidR="0019365D">
        <w:t>.</w:t>
      </w:r>
    </w:p>
    <w:p w:rsidR="00C40E60" w:rsidRPr="00306F9C" w:rsidRDefault="00C40E60" w:rsidP="0019365D">
      <w:pPr>
        <w:pStyle w:val="ListParagraph"/>
        <w:numPr>
          <w:ilvl w:val="0"/>
          <w:numId w:val="28"/>
        </w:numPr>
        <w:ind w:left="567" w:hanging="567"/>
      </w:pPr>
      <w:r w:rsidRPr="00306F9C">
        <w:t xml:space="preserve"> </w:t>
      </w:r>
      <w:r w:rsidR="00C5598A" w:rsidRPr="00306F9C">
        <w:t>Implementing educational activities with emphasis on culture and supporting the inclusion of students from vulnerable groups in Primary schools (p. 32)</w:t>
      </w:r>
      <w:r w:rsidR="0019365D">
        <w:t>.</w:t>
      </w:r>
    </w:p>
    <w:p w:rsidR="00FC0D2B" w:rsidRPr="00306F9C" w:rsidRDefault="00FC0D2B" w:rsidP="00123DE3">
      <w:r w:rsidRPr="00306F9C">
        <w:lastRenderedPageBreak/>
        <w:t>By contrast, no specific reference is made to disa</w:t>
      </w:r>
      <w:r w:rsidR="00A76C56" w:rsidRPr="00306F9C">
        <w:t>bility as regards reforms to</w:t>
      </w:r>
      <w:r w:rsidRPr="00306F9C">
        <w:t xml:space="preserve"> higher education</w:t>
      </w:r>
      <w:r w:rsidR="001B2CEA" w:rsidRPr="00306F9C">
        <w:t xml:space="preserve">, </w:t>
      </w:r>
      <w:r w:rsidR="00B57D43" w:rsidRPr="00306F9C">
        <w:t xml:space="preserve">thus </w:t>
      </w:r>
      <w:r w:rsidR="00097525" w:rsidRPr="00306F9C">
        <w:t xml:space="preserve">entirely </w:t>
      </w:r>
      <w:r w:rsidR="001B2CEA" w:rsidRPr="00306F9C">
        <w:t>leaving</w:t>
      </w:r>
      <w:r w:rsidR="00097525" w:rsidRPr="00306F9C">
        <w:t xml:space="preserve"> out</w:t>
      </w:r>
      <w:r w:rsidR="001B2CEA" w:rsidRPr="00306F9C">
        <w:t xml:space="preserve"> </w:t>
      </w:r>
      <w:r w:rsidR="00B57D43" w:rsidRPr="00306F9C">
        <w:t xml:space="preserve">the issue of </w:t>
      </w:r>
      <w:r w:rsidR="001B2CEA" w:rsidRPr="00306F9C">
        <w:t>accessibility of universities and support available to students with disabilities</w:t>
      </w:r>
      <w:r w:rsidRPr="00306F9C">
        <w:t xml:space="preserve">. </w:t>
      </w:r>
      <w:r w:rsidR="00097525" w:rsidRPr="00306F9C">
        <w:t xml:space="preserve">On the one hand, a comprehensive review is expected to take place </w:t>
      </w:r>
      <w:r w:rsidR="00B57D43" w:rsidRPr="00306F9C">
        <w:t xml:space="preserve">for improving the quality of higher education </w:t>
      </w:r>
      <w:r w:rsidR="00097525" w:rsidRPr="00306F9C">
        <w:t xml:space="preserve">with the involvement of all relevant stakeholders, a process which has not yet started, and is expected to involve </w:t>
      </w:r>
      <w:r w:rsidR="00554C7B" w:rsidRPr="00306F9C">
        <w:t>“</w:t>
      </w:r>
      <w:r w:rsidR="00097525" w:rsidRPr="00306F9C">
        <w:t>progressive implementation</w:t>
      </w:r>
      <w:r w:rsidR="00554C7B" w:rsidRPr="00306F9C">
        <w:t>”</w:t>
      </w:r>
      <w:r w:rsidR="00097525" w:rsidRPr="00306F9C">
        <w:t xml:space="preserve"> (p. 32). On the other hand, specifically a</w:t>
      </w:r>
      <w:r w:rsidR="008B262F" w:rsidRPr="00306F9C">
        <w:t xml:space="preserve">s </w:t>
      </w:r>
      <w:r w:rsidR="00097525" w:rsidRPr="00306F9C">
        <w:t xml:space="preserve">it </w:t>
      </w:r>
      <w:r w:rsidR="008B262F" w:rsidRPr="00306F9C">
        <w:t xml:space="preserve">regards ensuring equal access to higher education (NRP 2015, p. 32), </w:t>
      </w:r>
      <w:r w:rsidRPr="00306F9C">
        <w:t>the NRP does not put forward any specific plans, as policies already adopted seem to be considered adequate in supporting student participation of “disadvantaged individuals”.</w:t>
      </w:r>
    </w:p>
    <w:p w:rsidR="00FC0D2B" w:rsidRPr="00306F9C" w:rsidRDefault="00FC0D2B" w:rsidP="00123DE3"/>
    <w:p w:rsidR="008B262F" w:rsidRPr="00306F9C" w:rsidRDefault="008B262F" w:rsidP="00123DE3">
      <w:r w:rsidRPr="00306F9C">
        <w:t xml:space="preserve">A </w:t>
      </w:r>
      <w:r w:rsidR="00FC0D2B" w:rsidRPr="00306F9C">
        <w:t xml:space="preserve">recent </w:t>
      </w:r>
      <w:r w:rsidRPr="00306F9C">
        <w:t xml:space="preserve">positive policy development </w:t>
      </w:r>
      <w:r w:rsidR="00FC0D2B" w:rsidRPr="00306F9C">
        <w:t xml:space="preserve">should be mentioned regarding </w:t>
      </w:r>
      <w:r w:rsidR="001E6484" w:rsidRPr="00306F9C">
        <w:t>the abolition</w:t>
      </w:r>
      <w:r w:rsidRPr="00306F9C">
        <w:t xml:space="preserve"> of the discretion of universities to decide on which cases an impairment is considered to be an obstacle to studying a specific subject (Article 7 Ν. 4283/2014). It remains however for universities to routinely ensure accessibility and reasonable accommodation to students with disabilities</w:t>
      </w:r>
      <w:r w:rsidR="001E6484" w:rsidRPr="00306F9C">
        <w:t>.</w:t>
      </w:r>
    </w:p>
    <w:p w:rsidR="008B262F" w:rsidRPr="00306F9C" w:rsidRDefault="008B262F" w:rsidP="00123DE3"/>
    <w:p w:rsidR="008B262F" w:rsidRPr="00306F9C" w:rsidRDefault="008B262F" w:rsidP="00123DE3">
      <w:r w:rsidRPr="00306F9C">
        <w:t xml:space="preserve">There are finally plans for increasing participation in lifelong learning opportunities specifically from “under-represented groups” </w:t>
      </w:r>
      <w:r w:rsidR="00FC0D2B" w:rsidRPr="00306F9C">
        <w:t>(</w:t>
      </w:r>
      <w:r w:rsidR="002309E1" w:rsidRPr="00306F9C">
        <w:t xml:space="preserve">NRP 2015 </w:t>
      </w:r>
      <w:r w:rsidR="00FC0D2B" w:rsidRPr="00306F9C">
        <w:t xml:space="preserve">p.32) </w:t>
      </w:r>
      <w:r w:rsidRPr="00306F9C">
        <w:t>and reforming the VET system so as to improve the quality and relevance to the labour market</w:t>
      </w:r>
      <w:r w:rsidR="00652917" w:rsidRPr="00306F9C">
        <w:t>, although no specific measures are mentioned regarding disability and accessibility</w:t>
      </w:r>
      <w:r w:rsidRPr="00306F9C">
        <w:t xml:space="preserve">.   </w:t>
      </w:r>
    </w:p>
    <w:p w:rsidR="001E4166" w:rsidRPr="00306F9C" w:rsidRDefault="001E4166" w:rsidP="00123DE3"/>
    <w:p w:rsidR="0010423F" w:rsidRPr="00306F9C" w:rsidRDefault="0010423F" w:rsidP="00123DE3">
      <w:pPr>
        <w:pStyle w:val="Heading2"/>
        <w:rPr>
          <w:szCs w:val="24"/>
        </w:rPr>
      </w:pPr>
      <w:bookmarkStart w:id="36" w:name="_Toc429999649"/>
      <w:bookmarkStart w:id="37" w:name="_Toc453842124"/>
      <w:r w:rsidRPr="00306F9C">
        <w:rPr>
          <w:szCs w:val="24"/>
        </w:rPr>
        <w:t>Poverty and social inclusion</w:t>
      </w:r>
      <w:bookmarkEnd w:id="36"/>
      <w:bookmarkEnd w:id="37"/>
    </w:p>
    <w:p w:rsidR="0019365D" w:rsidRDefault="0019365D" w:rsidP="00123DE3">
      <w:pPr>
        <w:pStyle w:val="Un-numberedsubheading"/>
        <w:spacing w:after="0"/>
        <w:rPr>
          <w:b w:val="0"/>
        </w:rPr>
      </w:pPr>
    </w:p>
    <w:p w:rsidR="00143C99" w:rsidRDefault="00143C99" w:rsidP="00123DE3">
      <w:pPr>
        <w:pStyle w:val="Un-numberedsubheading"/>
        <w:spacing w:after="0"/>
        <w:rPr>
          <w:b w:val="0"/>
        </w:rPr>
      </w:pPr>
      <w:r w:rsidRPr="00306F9C">
        <w:rPr>
          <w:b w:val="0"/>
        </w:rPr>
        <w:t>As discussed in the descriptive part</w:t>
      </w:r>
      <w:r w:rsidR="007317B0" w:rsidRPr="00306F9C">
        <w:rPr>
          <w:b w:val="0"/>
        </w:rPr>
        <w:t xml:space="preserve"> earlier</w:t>
      </w:r>
      <w:r w:rsidRPr="00306F9C">
        <w:rPr>
          <w:b w:val="0"/>
        </w:rPr>
        <w:t>, the social security system has played a critical role in safeguarding disabled members in households with low income against poverty, particularly where people aged over 65</w:t>
      </w:r>
      <w:r w:rsidR="007317B0" w:rsidRPr="00306F9C">
        <w:rPr>
          <w:b w:val="0"/>
        </w:rPr>
        <w:t xml:space="preserve"> are involved</w:t>
      </w:r>
      <w:r w:rsidRPr="00306F9C">
        <w:rPr>
          <w:b w:val="0"/>
        </w:rPr>
        <w:t>. This is not however equally true for disabled people in households with low work intensity, or for younger people aged 16-24</w:t>
      </w:r>
      <w:r w:rsidR="0032440F" w:rsidRPr="00306F9C">
        <w:rPr>
          <w:b w:val="0"/>
        </w:rPr>
        <w:t>,</w:t>
      </w:r>
      <w:r w:rsidRPr="00306F9C">
        <w:rPr>
          <w:b w:val="0"/>
        </w:rPr>
        <w:t xml:space="preserve"> who would be eligible for a welfare disability benefit, but not a disability pension (i.e. have a comparably lower disposable income).</w:t>
      </w:r>
    </w:p>
    <w:p w:rsidR="0019365D" w:rsidRPr="00306F9C" w:rsidRDefault="0019365D" w:rsidP="00123DE3">
      <w:pPr>
        <w:pStyle w:val="Un-numberedsubheading"/>
        <w:spacing w:after="0"/>
        <w:rPr>
          <w:b w:val="0"/>
        </w:rPr>
      </w:pPr>
    </w:p>
    <w:p w:rsidR="0032440F" w:rsidRDefault="0032440F" w:rsidP="00123DE3">
      <w:pPr>
        <w:pStyle w:val="Un-numberedsubheading"/>
        <w:spacing w:after="0"/>
        <w:rPr>
          <w:b w:val="0"/>
        </w:rPr>
      </w:pPr>
      <w:r w:rsidRPr="00306F9C">
        <w:rPr>
          <w:b w:val="0"/>
        </w:rPr>
        <w:t xml:space="preserve">Thus, even though policies relating to disability pensions may be considered effective, especially as they have been protected to some extent, disability benefits have very limited potential in substituting </w:t>
      </w:r>
      <w:r w:rsidR="007D1B4C" w:rsidRPr="00306F9C">
        <w:rPr>
          <w:b w:val="0"/>
        </w:rPr>
        <w:t xml:space="preserve">income gained from employment. </w:t>
      </w:r>
    </w:p>
    <w:p w:rsidR="0019365D" w:rsidRPr="00306F9C" w:rsidRDefault="0019365D" w:rsidP="00123DE3">
      <w:pPr>
        <w:pStyle w:val="Un-numberedsubheading"/>
        <w:spacing w:after="0"/>
        <w:rPr>
          <w:b w:val="0"/>
        </w:rPr>
      </w:pPr>
    </w:p>
    <w:p w:rsidR="00143C99" w:rsidRPr="00306F9C" w:rsidRDefault="00BC6E9C" w:rsidP="00123DE3">
      <w:pPr>
        <w:pStyle w:val="Un-numberedsubheading"/>
        <w:spacing w:after="0"/>
        <w:rPr>
          <w:b w:val="0"/>
        </w:rPr>
      </w:pPr>
      <w:r w:rsidRPr="00306F9C">
        <w:rPr>
          <w:b w:val="0"/>
        </w:rPr>
        <w:t xml:space="preserve">This is also evidenced </w:t>
      </w:r>
      <w:r w:rsidR="00F80459" w:rsidRPr="00306F9C">
        <w:rPr>
          <w:b w:val="0"/>
        </w:rPr>
        <w:t xml:space="preserve">by </w:t>
      </w:r>
      <w:proofErr w:type="spellStart"/>
      <w:r w:rsidRPr="00306F9C">
        <w:rPr>
          <w:b w:val="0"/>
        </w:rPr>
        <w:t>Nat.Stat</w:t>
      </w:r>
      <w:proofErr w:type="spellEnd"/>
      <w:r w:rsidRPr="00306F9C">
        <w:rPr>
          <w:b w:val="0"/>
        </w:rPr>
        <w:t xml:space="preserve"> (2015)</w:t>
      </w:r>
      <w:r w:rsidR="00AE0191" w:rsidRPr="00306F9C">
        <w:rPr>
          <w:rStyle w:val="FootnoteReference"/>
          <w:b w:val="0"/>
        </w:rPr>
        <w:footnoteReference w:id="32"/>
      </w:r>
      <w:r w:rsidRPr="00306F9C">
        <w:rPr>
          <w:b w:val="0"/>
        </w:rPr>
        <w:t xml:space="preserve"> which </w:t>
      </w:r>
      <w:r w:rsidR="00143C99" w:rsidRPr="00306F9C">
        <w:rPr>
          <w:b w:val="0"/>
        </w:rPr>
        <w:t>note</w:t>
      </w:r>
      <w:r w:rsidR="00F80459" w:rsidRPr="00306F9C">
        <w:rPr>
          <w:b w:val="0"/>
        </w:rPr>
        <w:t>s</w:t>
      </w:r>
      <w:r w:rsidR="00143C99" w:rsidRPr="00306F9C">
        <w:rPr>
          <w:b w:val="0"/>
        </w:rPr>
        <w:t xml:space="preserve"> that social benefits (including disability benefits, unemployment and child benefits) decrease the risk of poverty by 3.9% whilst pensions (including disability pensions) by 26.2%</w:t>
      </w:r>
      <w:r w:rsidR="0019365D">
        <w:rPr>
          <w:b w:val="0"/>
        </w:rPr>
        <w:t>.</w:t>
      </w:r>
      <w:r w:rsidR="00143C99" w:rsidRPr="00306F9C">
        <w:rPr>
          <w:rStyle w:val="FootnoteReference"/>
          <w:b w:val="0"/>
        </w:rPr>
        <w:footnoteReference w:id="33"/>
      </w:r>
    </w:p>
    <w:p w:rsidR="008A7053" w:rsidRPr="00306F9C" w:rsidRDefault="00F80459" w:rsidP="00123DE3">
      <w:r w:rsidRPr="00306F9C">
        <w:t>Furthermore, e</w:t>
      </w:r>
      <w:r w:rsidR="008A7053" w:rsidRPr="00306F9C">
        <w:t>xpenditure for disability benefits was estimated at 1.3% of GDP in 2012 (remaining relatively stable in the previous years before the crisis), in contrast with 2.1% EU average</w:t>
      </w:r>
      <w:r w:rsidR="0019365D">
        <w:t>.</w:t>
      </w:r>
      <w:r w:rsidR="008A7053" w:rsidRPr="00306F9C">
        <w:rPr>
          <w:rStyle w:val="FootnoteReference"/>
        </w:rPr>
        <w:footnoteReference w:id="34"/>
      </w:r>
    </w:p>
    <w:p w:rsidR="0070417B" w:rsidRPr="00306F9C" w:rsidRDefault="0070417B" w:rsidP="00123DE3"/>
    <w:p w:rsidR="00CD4804" w:rsidRPr="00306F9C" w:rsidRDefault="0070417B" w:rsidP="00123DE3">
      <w:r w:rsidRPr="00306F9C">
        <w:lastRenderedPageBreak/>
        <w:t>Any assessment of the effectiveness of disability benefit policies</w:t>
      </w:r>
      <w:r w:rsidR="00B928A1" w:rsidRPr="00306F9C">
        <w:t xml:space="preserve">, which will also practically form part of a social welfare review that is due according to the requirements of the </w:t>
      </w:r>
      <w:proofErr w:type="spellStart"/>
      <w:r w:rsidR="00B928A1" w:rsidRPr="00306F9C">
        <w:t>MoU</w:t>
      </w:r>
      <w:proofErr w:type="spellEnd"/>
      <w:r w:rsidR="00B928A1" w:rsidRPr="00306F9C">
        <w:t xml:space="preserve"> III and the NRP (2015),</w:t>
      </w:r>
      <w:r w:rsidRPr="00306F9C">
        <w:t xml:space="preserve"> should also consider the level of services available for meeting support</w:t>
      </w:r>
      <w:r w:rsidR="00FC0C77" w:rsidRPr="00306F9C">
        <w:t xml:space="preserve"> and access</w:t>
      </w:r>
      <w:r w:rsidRPr="00306F9C">
        <w:t xml:space="preserve"> needs</w:t>
      </w:r>
      <w:r w:rsidR="00970D60" w:rsidRPr="00306F9C">
        <w:t xml:space="preserve"> on a national or local level</w:t>
      </w:r>
      <w:r w:rsidR="00FC0C77" w:rsidRPr="00306F9C">
        <w:t xml:space="preserve">. Where these are not provided, </w:t>
      </w:r>
      <w:r w:rsidR="00970D60" w:rsidRPr="00306F9C">
        <w:t>(</w:t>
      </w:r>
      <w:r w:rsidR="00FC0C77" w:rsidRPr="00306F9C">
        <w:t>e.g. adequate level of health and social care</w:t>
      </w:r>
      <w:r w:rsidR="00970D60" w:rsidRPr="00306F9C">
        <w:t xml:space="preserve"> services)</w:t>
      </w:r>
      <w:r w:rsidR="00FC0C77" w:rsidRPr="00306F9C">
        <w:t>,</w:t>
      </w:r>
      <w:r w:rsidR="00970D60" w:rsidRPr="00306F9C">
        <w:t xml:space="preserve"> or</w:t>
      </w:r>
      <w:r w:rsidR="00FC0C77" w:rsidRPr="00306F9C">
        <w:t xml:space="preserve"> obstacles</w:t>
      </w:r>
      <w:r w:rsidRPr="00306F9C">
        <w:t xml:space="preserve"> </w:t>
      </w:r>
      <w:r w:rsidR="00FC0C77" w:rsidRPr="00306F9C">
        <w:t>in t</w:t>
      </w:r>
      <w:r w:rsidRPr="00306F9C">
        <w:t xml:space="preserve">he environment </w:t>
      </w:r>
      <w:r w:rsidR="00970D60" w:rsidRPr="00306F9C">
        <w:t>persist (</w:t>
      </w:r>
      <w:r w:rsidRPr="00306F9C">
        <w:t>e.g. transport, adaptations in the workplace</w:t>
      </w:r>
      <w:r w:rsidR="00FC0C77" w:rsidRPr="00306F9C">
        <w:t xml:space="preserve"> or at school</w:t>
      </w:r>
      <w:r w:rsidRPr="00306F9C">
        <w:t>)</w:t>
      </w:r>
      <w:r w:rsidR="00FC0C77" w:rsidRPr="00306F9C">
        <w:t xml:space="preserve"> they translate into extra costs for individuals.</w:t>
      </w:r>
      <w:r w:rsidR="00E85FCD" w:rsidRPr="00306F9C">
        <w:t xml:space="preserve"> </w:t>
      </w:r>
      <w:r w:rsidR="00F06887" w:rsidRPr="00306F9C">
        <w:t xml:space="preserve">In that case it is a question of whether </w:t>
      </w:r>
      <w:r w:rsidR="00E85FCD" w:rsidRPr="00306F9C">
        <w:t xml:space="preserve">disability benefits are adequate to compensate for those extra costs </w:t>
      </w:r>
      <w:r w:rsidR="00F413E6" w:rsidRPr="00306F9C">
        <w:t xml:space="preserve">as well as </w:t>
      </w:r>
      <w:r w:rsidR="00E85FCD" w:rsidRPr="00306F9C">
        <w:t>provide disposable income for younger people with disabilities</w:t>
      </w:r>
      <w:r w:rsidR="00F06887" w:rsidRPr="00306F9C">
        <w:t>. Unfortunately no research data is available to provide an immediate answer</w:t>
      </w:r>
      <w:r w:rsidR="00544832" w:rsidRPr="00306F9C">
        <w:t xml:space="preserve"> to that</w:t>
      </w:r>
      <w:r w:rsidR="00392530" w:rsidRPr="00306F9C">
        <w:t>,</w:t>
      </w:r>
      <w:r w:rsidR="00544832" w:rsidRPr="00306F9C">
        <w:t xml:space="preserve"> </w:t>
      </w:r>
      <w:r w:rsidR="00392530" w:rsidRPr="00306F9C">
        <w:t>nevertheless</w:t>
      </w:r>
      <w:r w:rsidR="00544832" w:rsidRPr="00306F9C">
        <w:t>, the inadequacy of disability benefits</w:t>
      </w:r>
      <w:r w:rsidR="00392530" w:rsidRPr="00306F9C">
        <w:t xml:space="preserve"> in these respects</w:t>
      </w:r>
      <w:r w:rsidR="00544832" w:rsidRPr="00306F9C">
        <w:t xml:space="preserve"> has formed </w:t>
      </w:r>
      <w:r w:rsidR="00392530" w:rsidRPr="00306F9C">
        <w:t xml:space="preserve">a large </w:t>
      </w:r>
      <w:r w:rsidR="00544832" w:rsidRPr="00306F9C">
        <w:t>part of the disability movement lobbying</w:t>
      </w:r>
      <w:r w:rsidR="00BE24BE" w:rsidRPr="00306F9C">
        <w:t xml:space="preserve"> especially</w:t>
      </w:r>
      <w:r w:rsidR="00544832" w:rsidRPr="00306F9C">
        <w:t xml:space="preserve"> since the beginning of the economic crisis up to this day</w:t>
      </w:r>
      <w:r w:rsidR="0019365D">
        <w:t>.</w:t>
      </w:r>
      <w:r w:rsidR="00544832" w:rsidRPr="00306F9C">
        <w:rPr>
          <w:rStyle w:val="FootnoteReference"/>
        </w:rPr>
        <w:footnoteReference w:id="35"/>
      </w:r>
    </w:p>
    <w:p w:rsidR="001E4166" w:rsidRPr="00306F9C" w:rsidRDefault="001E4166" w:rsidP="00123DE3"/>
    <w:p w:rsidR="00E72A3E" w:rsidRPr="00306F9C" w:rsidRDefault="00BE24BE" w:rsidP="00123DE3">
      <w:r w:rsidRPr="00306F9C">
        <w:t xml:space="preserve">In terms of future priorities and strategies, </w:t>
      </w:r>
      <w:r w:rsidR="00392530" w:rsidRPr="00306F9C">
        <w:t xml:space="preserve">it is welcome that </w:t>
      </w:r>
      <w:r w:rsidRPr="00306F9C">
        <w:t xml:space="preserve">the </w:t>
      </w:r>
      <w:r w:rsidR="00392530" w:rsidRPr="00306F9C">
        <w:t>new</w:t>
      </w:r>
      <w:r w:rsidRPr="00306F9C">
        <w:t xml:space="preserve"> National Strategic Framework for Social Inclusion (2014) addresses </w:t>
      </w:r>
      <w:r w:rsidR="00392530" w:rsidRPr="00306F9C">
        <w:t xml:space="preserve">disability and poverty/social exclusion in a wider context of </w:t>
      </w:r>
      <w:r w:rsidR="004D0468" w:rsidRPr="00306F9C">
        <w:t xml:space="preserve">enabling </w:t>
      </w:r>
      <w:r w:rsidR="00392530" w:rsidRPr="00306F9C">
        <w:t xml:space="preserve">access to services and the labour market. </w:t>
      </w:r>
      <w:r w:rsidR="004D0468" w:rsidRPr="00306F9C">
        <w:t>P</w:t>
      </w:r>
      <w:r w:rsidRPr="00306F9C">
        <w:t xml:space="preserve">eople with disabilities </w:t>
      </w:r>
      <w:r w:rsidR="004D0468" w:rsidRPr="00306F9C">
        <w:t xml:space="preserve">are acknowledged to be </w:t>
      </w:r>
      <w:r w:rsidRPr="00306F9C">
        <w:t xml:space="preserve">among social groups at increased risk of poverty and social exclusion, while further distinctions are made </w:t>
      </w:r>
      <w:r w:rsidR="005C6DEA" w:rsidRPr="00306F9C">
        <w:t>concerning</w:t>
      </w:r>
      <w:r w:rsidRPr="00306F9C">
        <w:t xml:space="preserve"> </w:t>
      </w:r>
      <w:r w:rsidR="00A22193" w:rsidRPr="00306F9C">
        <w:t xml:space="preserve">chronic </w:t>
      </w:r>
      <w:r w:rsidRPr="00306F9C">
        <w:t>illness, people in need of assistance for daily tasks and people living in institutions (p. 39).</w:t>
      </w:r>
      <w:r w:rsidR="00AA148F" w:rsidRPr="00306F9C">
        <w:t xml:space="preserve"> D</w:t>
      </w:r>
      <w:r w:rsidR="004D0468" w:rsidRPr="00306F9C">
        <w:t>isability targeted actions include widening provision of community based services, promoting de-institutionalisation (e.g. widening implementation of supported living shelters schemes for adults and childre</w:t>
      </w:r>
      <w:r w:rsidR="00AA148F" w:rsidRPr="00306F9C">
        <w:t xml:space="preserve">n with disabilities (p.91), </w:t>
      </w:r>
      <w:r w:rsidR="004D0468" w:rsidRPr="00306F9C">
        <w:t>ensuring access to special education,</w:t>
      </w:r>
      <w:r w:rsidR="00FA696E" w:rsidRPr="00306F9C">
        <w:t xml:space="preserve"> including nursing tasks in home help service provision, </w:t>
      </w:r>
      <w:r w:rsidR="00AA148F" w:rsidRPr="00306F9C">
        <w:t>as well as</w:t>
      </w:r>
      <w:r w:rsidR="004D0468" w:rsidRPr="00306F9C">
        <w:t xml:space="preserve"> </w:t>
      </w:r>
      <w:r w:rsidR="00AA148F" w:rsidRPr="00306F9C">
        <w:t>promoting participation of people with disabilities in specif</w:t>
      </w:r>
      <w:r w:rsidR="001E5187" w:rsidRPr="00306F9C">
        <w:t xml:space="preserve">ically designed VET schemes, </w:t>
      </w:r>
      <w:r w:rsidR="00AA148F" w:rsidRPr="00306F9C">
        <w:t xml:space="preserve">active labour programs, and social entrepreneurship schemes. </w:t>
      </w:r>
    </w:p>
    <w:p w:rsidR="00E72A3E" w:rsidRPr="00306F9C" w:rsidRDefault="00E72A3E" w:rsidP="00123DE3"/>
    <w:p w:rsidR="00DB647F" w:rsidRPr="00306F9C" w:rsidRDefault="0051343E" w:rsidP="00123DE3">
      <w:r w:rsidRPr="00306F9C">
        <w:t>It is important to highlight the urgency of de-institutionalisation measures in the light of repeated UN recommendations (2012</w:t>
      </w:r>
      <w:r w:rsidR="0019365D">
        <w:t>;</w:t>
      </w:r>
      <w:r w:rsidRPr="00306F9C">
        <w:rPr>
          <w:rStyle w:val="FootnoteReference"/>
        </w:rPr>
        <w:footnoteReference w:id="36"/>
      </w:r>
      <w:r w:rsidRPr="00306F9C">
        <w:t xml:space="preserve"> 2015</w:t>
      </w:r>
      <w:r w:rsidR="0019365D">
        <w:t>)</w:t>
      </w:r>
      <w:r w:rsidRPr="00306F9C">
        <w:rPr>
          <w:rStyle w:val="FootnoteReference"/>
        </w:rPr>
        <w:footnoteReference w:id="37"/>
      </w:r>
      <w:r w:rsidRPr="00306F9C">
        <w:t xml:space="preserve"> pointing to serious violations of rights, which have been</w:t>
      </w:r>
      <w:r w:rsidR="00823DF1" w:rsidRPr="00306F9C">
        <w:t xml:space="preserve"> so far</w:t>
      </w:r>
      <w:r w:rsidRPr="00306F9C">
        <w:t xml:space="preserve"> little (if at all) addressed by the state. In specific, the latest recommendations of the UN Human Rights Committee</w:t>
      </w:r>
      <w:r w:rsidR="00D657D4" w:rsidRPr="00306F9C">
        <w:t xml:space="preserve"> (2015, p.2, Recommendation 9) about persons with disabilities </w:t>
      </w:r>
      <w:r w:rsidR="00D657D4" w:rsidRPr="00306F9C">
        <w:rPr>
          <w:i/>
        </w:rPr>
        <w:t>“notes with concern the discrimination faced by persons with disabilities, in particular with regard to access to education, employment and health services</w:t>
      </w:r>
      <w:r w:rsidR="00996C5D" w:rsidRPr="00306F9C">
        <w:rPr>
          <w:i/>
        </w:rPr>
        <w:t>...</w:t>
      </w:r>
      <w:r w:rsidR="00D657D4" w:rsidRPr="00306F9C">
        <w:rPr>
          <w:i/>
        </w:rPr>
        <w:t>”,</w:t>
      </w:r>
      <w:r w:rsidR="00D657D4" w:rsidRPr="00306F9C">
        <w:t xml:space="preserve"> and makes reference to </w:t>
      </w:r>
      <w:r w:rsidR="00D657D4" w:rsidRPr="00306F9C">
        <w:rPr>
          <w:i/>
        </w:rPr>
        <w:t>“...reports indicating the continuing widespread use of such measures (physical restraint), including the use of enclosed restraint beds (cages/net beds) and systematic sedation as a means to restrain patients with intellectual disabilities, including children, in institutions. (arts. 2, 7, 9, 10 and 24)”</w:t>
      </w:r>
    </w:p>
    <w:p w:rsidR="0051343E" w:rsidRPr="00306F9C" w:rsidRDefault="0051343E" w:rsidP="00123DE3">
      <w:pPr>
        <w:rPr>
          <w:rFonts w:eastAsia="Times New Roman"/>
          <w:i/>
          <w:lang w:val="en-US" w:eastAsia="el-GR"/>
        </w:rPr>
      </w:pPr>
    </w:p>
    <w:p w:rsidR="005A291A" w:rsidRPr="00306F9C" w:rsidRDefault="005A291A" w:rsidP="00123DE3">
      <w:pPr>
        <w:rPr>
          <w:rFonts w:eastAsia="Times New Roman"/>
          <w:lang w:val="en-US" w:eastAsia="el-GR"/>
        </w:rPr>
      </w:pPr>
      <w:r w:rsidRPr="00306F9C">
        <w:rPr>
          <w:rFonts w:eastAsia="Times New Roman"/>
          <w:lang w:val="en-US" w:eastAsia="el-GR"/>
        </w:rPr>
        <w:lastRenderedPageBreak/>
        <w:t>Similar recommendations had been made by the UN Committee of the Rights of Child (2012) in response to the respective report prepared by the Greek Ombudsman for Children’s Rights</w:t>
      </w:r>
      <w:r w:rsidR="0019365D">
        <w:rPr>
          <w:rFonts w:eastAsia="Times New Roman"/>
          <w:lang w:val="en-US" w:eastAsia="el-GR"/>
        </w:rPr>
        <w:t>,</w:t>
      </w:r>
      <w:r w:rsidRPr="00306F9C">
        <w:rPr>
          <w:rStyle w:val="FootnoteReference"/>
          <w:rFonts w:eastAsia="Times New Roman"/>
          <w:lang w:val="en-US" w:eastAsia="el-GR"/>
        </w:rPr>
        <w:footnoteReference w:id="38"/>
      </w:r>
      <w:r w:rsidRPr="00306F9C">
        <w:rPr>
          <w:rFonts w:eastAsia="Times New Roman"/>
          <w:lang w:val="en-US" w:eastAsia="el-GR"/>
        </w:rPr>
        <w:t xml:space="preserve"> which had pointed out that:</w:t>
      </w:r>
    </w:p>
    <w:p w:rsidR="005A291A" w:rsidRPr="00306F9C" w:rsidRDefault="005A291A" w:rsidP="00123DE3">
      <w:pPr>
        <w:rPr>
          <w:rFonts w:eastAsia="Times New Roman"/>
          <w:lang w:val="en-US" w:eastAsia="el-GR"/>
        </w:rPr>
      </w:pPr>
    </w:p>
    <w:p w:rsidR="00DB647F" w:rsidRPr="00306F9C" w:rsidRDefault="005A291A" w:rsidP="00472DAE">
      <w:pPr>
        <w:ind w:left="567"/>
        <w:rPr>
          <w:rFonts w:eastAsia="Times New Roman"/>
          <w:lang w:val="en-US" w:eastAsia="el-GR"/>
        </w:rPr>
      </w:pPr>
      <w:r w:rsidRPr="00306F9C">
        <w:rPr>
          <w:rFonts w:eastAsia="Times New Roman"/>
          <w:lang w:val="en-US" w:eastAsia="el-GR"/>
        </w:rPr>
        <w:t>“</w:t>
      </w:r>
      <w:r w:rsidRPr="00306F9C">
        <w:rPr>
          <w:rFonts w:eastAsia="Times New Roman"/>
          <w:i/>
          <w:lang w:val="en-US" w:eastAsia="el-GR"/>
        </w:rPr>
        <w:t xml:space="preserve">Many institutions for children with disabilities and chronic illnesses continue to essentially operate as asylums, isolated from the social fabric, with outdated care systems and inadequate coverage of the medical, therapeutic and educational needs of their guests, and </w:t>
      </w:r>
      <w:proofErr w:type="spellStart"/>
      <w:r w:rsidRPr="00306F9C">
        <w:rPr>
          <w:rFonts w:eastAsia="Times New Roman"/>
          <w:i/>
          <w:lang w:val="en-US" w:eastAsia="el-GR"/>
        </w:rPr>
        <w:t>some times</w:t>
      </w:r>
      <w:proofErr w:type="spellEnd"/>
      <w:r w:rsidRPr="00306F9C">
        <w:rPr>
          <w:rFonts w:eastAsia="Times New Roman"/>
          <w:i/>
          <w:lang w:val="en-US" w:eastAsia="el-GR"/>
        </w:rPr>
        <w:t xml:space="preserve"> use unacceptable methods for the children's constraint and confinement for prevention purposes</w:t>
      </w:r>
      <w:r w:rsidRPr="00306F9C">
        <w:rPr>
          <w:rFonts w:eastAsia="Times New Roman"/>
          <w:lang w:val="en-US" w:eastAsia="el-GR"/>
        </w:rPr>
        <w:t xml:space="preserve"> (p.12)</w:t>
      </w:r>
    </w:p>
    <w:p w:rsidR="00AA5912" w:rsidRPr="00306F9C" w:rsidRDefault="00AA5912" w:rsidP="00123DE3">
      <w:pPr>
        <w:rPr>
          <w:rFonts w:eastAsia="Times New Roman"/>
          <w:lang w:val="en-US" w:eastAsia="el-GR"/>
        </w:rPr>
      </w:pPr>
    </w:p>
    <w:p w:rsidR="00DB647F" w:rsidRPr="00306F9C" w:rsidRDefault="00B852FB" w:rsidP="00123DE3">
      <w:pPr>
        <w:rPr>
          <w:rFonts w:eastAsia="Times New Roman"/>
          <w:lang w:val="en-US" w:eastAsia="el-GR"/>
        </w:rPr>
      </w:pPr>
      <w:r w:rsidRPr="00306F9C">
        <w:rPr>
          <w:rFonts w:eastAsia="Times New Roman"/>
          <w:lang w:val="en-US" w:eastAsia="el-GR"/>
        </w:rPr>
        <w:t xml:space="preserve">The </w:t>
      </w:r>
      <w:r w:rsidR="005A291A" w:rsidRPr="00306F9C">
        <w:rPr>
          <w:rFonts w:eastAsia="Times New Roman"/>
          <w:lang w:val="en-US" w:eastAsia="el-GR"/>
        </w:rPr>
        <w:t>report</w:t>
      </w:r>
      <w:r w:rsidRPr="00306F9C">
        <w:rPr>
          <w:rFonts w:eastAsia="Times New Roman"/>
          <w:lang w:val="en-US" w:eastAsia="el-GR"/>
        </w:rPr>
        <w:t xml:space="preserve"> ha</w:t>
      </w:r>
      <w:r w:rsidR="005A291A" w:rsidRPr="00306F9C">
        <w:rPr>
          <w:rFonts w:eastAsia="Times New Roman"/>
          <w:lang w:val="en-US" w:eastAsia="el-GR"/>
        </w:rPr>
        <w:t>d</w:t>
      </w:r>
      <w:r w:rsidRPr="00306F9C">
        <w:rPr>
          <w:rFonts w:eastAsia="Times New Roman"/>
          <w:lang w:val="en-US" w:eastAsia="el-GR"/>
        </w:rPr>
        <w:t xml:space="preserve"> also pointed out </w:t>
      </w:r>
      <w:r w:rsidR="00823DF1" w:rsidRPr="00306F9C">
        <w:rPr>
          <w:rFonts w:eastAsia="Times New Roman"/>
          <w:lang w:val="en-US" w:eastAsia="el-GR"/>
        </w:rPr>
        <w:t>the state’s failure</w:t>
      </w:r>
      <w:r w:rsidRPr="00306F9C">
        <w:rPr>
          <w:rFonts w:eastAsia="Times New Roman"/>
          <w:lang w:val="en-US" w:eastAsia="el-GR"/>
        </w:rPr>
        <w:t xml:space="preserve"> to </w:t>
      </w:r>
      <w:r w:rsidR="00823DF1" w:rsidRPr="00306F9C">
        <w:rPr>
          <w:rFonts w:eastAsia="Times New Roman"/>
          <w:lang w:val="en-US" w:eastAsia="el-GR"/>
        </w:rPr>
        <w:t>comply with</w:t>
      </w:r>
      <w:r w:rsidR="00DB647F" w:rsidRPr="00306F9C">
        <w:rPr>
          <w:rFonts w:eastAsia="Times New Roman"/>
          <w:lang w:val="en-US" w:eastAsia="el-GR"/>
        </w:rPr>
        <w:t xml:space="preserve"> the UN Guidelines for alternative care, or the content of Recommendation 2005 (5) of the Council of Europe on the rights of children living in institutions</w:t>
      </w:r>
      <w:r w:rsidR="00C03FF8" w:rsidRPr="00306F9C">
        <w:rPr>
          <w:rFonts w:eastAsia="Times New Roman"/>
          <w:lang w:val="en-US" w:eastAsia="el-GR"/>
        </w:rPr>
        <w:t>,</w:t>
      </w:r>
      <w:r w:rsidR="00DB647F" w:rsidRPr="00306F9C">
        <w:rPr>
          <w:rFonts w:eastAsia="Times New Roman"/>
          <w:lang w:val="en-US" w:eastAsia="el-GR"/>
        </w:rPr>
        <w:t xml:space="preserve"> or </w:t>
      </w:r>
      <w:r w:rsidRPr="00306F9C">
        <w:rPr>
          <w:rFonts w:eastAsia="Times New Roman"/>
          <w:lang w:val="en-US" w:eastAsia="el-GR"/>
        </w:rPr>
        <w:t xml:space="preserve">the </w:t>
      </w:r>
      <w:r w:rsidR="00DB647F" w:rsidRPr="00306F9C">
        <w:rPr>
          <w:rFonts w:eastAsia="Times New Roman"/>
          <w:lang w:val="en-US" w:eastAsia="el-GR"/>
        </w:rPr>
        <w:t>Recommendation CM/Rec (2010) 2 for de-institutionalization and community living of children with disabilities” (p. 12)</w:t>
      </w:r>
      <w:r w:rsidR="00AE358C">
        <w:rPr>
          <w:rFonts w:eastAsia="Times New Roman"/>
          <w:lang w:val="en-US" w:eastAsia="el-GR"/>
        </w:rPr>
        <w:t>.</w:t>
      </w:r>
    </w:p>
    <w:p w:rsidR="005A291A" w:rsidRPr="00306F9C" w:rsidRDefault="005A291A" w:rsidP="00123DE3">
      <w:pPr>
        <w:rPr>
          <w:rFonts w:eastAsia="Times New Roman"/>
          <w:lang w:val="en-US" w:eastAsia="el-GR"/>
        </w:rPr>
      </w:pPr>
    </w:p>
    <w:p w:rsidR="005A291A" w:rsidRPr="00306F9C" w:rsidRDefault="00F4135C" w:rsidP="00123DE3">
      <w:pPr>
        <w:rPr>
          <w:rFonts w:eastAsia="Times New Roman"/>
          <w:lang w:val="en-US" w:eastAsia="el-GR"/>
        </w:rPr>
      </w:pPr>
      <w:r w:rsidRPr="00306F9C">
        <w:rPr>
          <w:rFonts w:eastAsia="Times New Roman"/>
          <w:lang w:val="en-US" w:eastAsia="el-GR"/>
        </w:rPr>
        <w:t>Th</w:t>
      </w:r>
      <w:r w:rsidR="00A215C2" w:rsidRPr="00306F9C">
        <w:rPr>
          <w:rFonts w:eastAsia="Times New Roman"/>
          <w:lang w:val="en-US" w:eastAsia="el-GR"/>
        </w:rPr>
        <w:t>e</w:t>
      </w:r>
      <w:r w:rsidRPr="00306F9C">
        <w:rPr>
          <w:rFonts w:eastAsia="Times New Roman"/>
          <w:lang w:val="en-US" w:eastAsia="el-GR"/>
        </w:rPr>
        <w:t xml:space="preserve"> persistent </w:t>
      </w:r>
      <w:r w:rsidR="005A291A" w:rsidRPr="00306F9C">
        <w:rPr>
          <w:rFonts w:eastAsia="Times New Roman"/>
          <w:lang w:val="en-US" w:eastAsia="el-GR"/>
        </w:rPr>
        <w:t>failure</w:t>
      </w:r>
      <w:r w:rsidRPr="00306F9C">
        <w:rPr>
          <w:rFonts w:eastAsia="Times New Roman"/>
          <w:lang w:val="en-US" w:eastAsia="el-GR"/>
        </w:rPr>
        <w:t xml:space="preserve"> of the state to </w:t>
      </w:r>
      <w:r w:rsidR="00823DF1" w:rsidRPr="00306F9C">
        <w:rPr>
          <w:rFonts w:eastAsia="Times New Roman"/>
          <w:lang w:val="en-US" w:eastAsia="el-GR"/>
        </w:rPr>
        <w:t>take action</w:t>
      </w:r>
      <w:r w:rsidR="005A291A" w:rsidRPr="00306F9C">
        <w:rPr>
          <w:rFonts w:eastAsia="Times New Roman"/>
          <w:lang w:val="en-US" w:eastAsia="el-GR"/>
        </w:rPr>
        <w:t xml:space="preserve"> </w:t>
      </w:r>
      <w:r w:rsidRPr="00306F9C">
        <w:rPr>
          <w:rFonts w:eastAsia="Times New Roman"/>
          <w:lang w:val="en-US" w:eastAsia="el-GR"/>
        </w:rPr>
        <w:t>was</w:t>
      </w:r>
      <w:r w:rsidR="005A291A" w:rsidRPr="00306F9C">
        <w:rPr>
          <w:rFonts w:eastAsia="Times New Roman"/>
          <w:lang w:val="en-US" w:eastAsia="el-GR"/>
        </w:rPr>
        <w:t xml:space="preserve"> brought forward to the </w:t>
      </w:r>
      <w:r w:rsidRPr="00306F9C">
        <w:rPr>
          <w:rFonts w:eastAsia="Times New Roman"/>
          <w:lang w:val="en-US" w:eastAsia="el-GR"/>
        </w:rPr>
        <w:t>Supreme Court</w:t>
      </w:r>
      <w:r w:rsidR="00BE00E2" w:rsidRPr="00306F9C">
        <w:rPr>
          <w:rFonts w:eastAsia="Times New Roman"/>
          <w:lang w:val="en-US" w:eastAsia="el-GR"/>
        </w:rPr>
        <w:t xml:space="preserve"> of Civil and Penal Law</w:t>
      </w:r>
      <w:r w:rsidRPr="00306F9C">
        <w:rPr>
          <w:rFonts w:eastAsia="Times New Roman"/>
          <w:lang w:val="en-US" w:eastAsia="el-GR"/>
        </w:rPr>
        <w:t xml:space="preserve"> on 13</w:t>
      </w:r>
      <w:r w:rsidRPr="00306F9C">
        <w:rPr>
          <w:rFonts w:eastAsia="Times New Roman"/>
          <w:vertAlign w:val="superscript"/>
          <w:lang w:val="en-US" w:eastAsia="el-GR"/>
        </w:rPr>
        <w:t>th</w:t>
      </w:r>
      <w:r w:rsidRPr="00306F9C">
        <w:rPr>
          <w:rFonts w:eastAsia="Times New Roman"/>
          <w:lang w:val="en-US" w:eastAsia="el-GR"/>
        </w:rPr>
        <w:t xml:space="preserve"> November 2015 by the Representative of</w:t>
      </w:r>
      <w:r w:rsidR="00823DF1" w:rsidRPr="00306F9C">
        <w:rPr>
          <w:rFonts w:eastAsia="Times New Roman"/>
          <w:lang w:val="en-US" w:eastAsia="el-GR"/>
        </w:rPr>
        <w:t xml:space="preserve"> the Hellenic Observatory for the Helsinki Conventions</w:t>
      </w:r>
      <w:r w:rsidR="00472DAE">
        <w:rPr>
          <w:rFonts w:eastAsia="Times New Roman"/>
          <w:lang w:val="en-US" w:eastAsia="el-GR"/>
        </w:rPr>
        <w:t>,</w:t>
      </w:r>
      <w:r w:rsidR="00823DF1" w:rsidRPr="00306F9C">
        <w:rPr>
          <w:rStyle w:val="FootnoteReference"/>
          <w:rFonts w:eastAsia="Times New Roman"/>
          <w:lang w:val="en-US" w:eastAsia="el-GR"/>
        </w:rPr>
        <w:footnoteReference w:id="39"/>
      </w:r>
      <w:r w:rsidR="00A215C2" w:rsidRPr="00306F9C">
        <w:rPr>
          <w:rFonts w:eastAsia="Times New Roman"/>
          <w:lang w:val="en-US" w:eastAsia="el-GR"/>
        </w:rPr>
        <w:t xml:space="preserve"> quoting UN Recommendations as well as using </w:t>
      </w:r>
      <w:r w:rsidR="00C07067" w:rsidRPr="00306F9C">
        <w:rPr>
          <w:rFonts w:eastAsia="Times New Roman"/>
          <w:lang w:val="en-US" w:eastAsia="el-GR"/>
        </w:rPr>
        <w:t xml:space="preserve">up-to-date </w:t>
      </w:r>
      <w:r w:rsidR="00A215C2" w:rsidRPr="00306F9C">
        <w:rPr>
          <w:rFonts w:eastAsia="Times New Roman"/>
          <w:lang w:val="en-US" w:eastAsia="el-GR"/>
        </w:rPr>
        <w:t xml:space="preserve">evidence collected by </w:t>
      </w:r>
      <w:r w:rsidR="00A05EF2" w:rsidRPr="00306F9C">
        <w:rPr>
          <w:rFonts w:eastAsia="Times New Roman"/>
          <w:lang w:val="en-US" w:eastAsia="el-GR"/>
        </w:rPr>
        <w:t>an activist group “Zero Tolerance”</w:t>
      </w:r>
      <w:r w:rsidR="00692000" w:rsidRPr="00306F9C">
        <w:rPr>
          <w:rFonts w:eastAsia="Times New Roman"/>
          <w:lang w:val="en-US" w:eastAsia="el-GR"/>
        </w:rPr>
        <w:t xml:space="preserve"> which</w:t>
      </w:r>
      <w:r w:rsidR="00A05EF2" w:rsidRPr="00306F9C">
        <w:rPr>
          <w:rFonts w:eastAsia="Times New Roman"/>
          <w:lang w:val="en-US" w:eastAsia="el-GR"/>
        </w:rPr>
        <w:t xml:space="preserve"> </w:t>
      </w:r>
      <w:r w:rsidR="00692000" w:rsidRPr="00306F9C">
        <w:rPr>
          <w:lang w:val="en-US"/>
        </w:rPr>
        <w:t>on 4</w:t>
      </w:r>
      <w:r w:rsidR="00692000" w:rsidRPr="00306F9C">
        <w:rPr>
          <w:vertAlign w:val="superscript"/>
          <w:lang w:val="en-US"/>
        </w:rPr>
        <w:t>th</w:t>
      </w:r>
      <w:r w:rsidR="00692000" w:rsidRPr="00306F9C">
        <w:rPr>
          <w:lang w:val="en-US"/>
        </w:rPr>
        <w:t xml:space="preserve"> November 2015 </w:t>
      </w:r>
      <w:r w:rsidR="00C03FF8" w:rsidRPr="00306F9C">
        <w:rPr>
          <w:lang w:val="en-US"/>
        </w:rPr>
        <w:t xml:space="preserve">carried out </w:t>
      </w:r>
      <w:r w:rsidR="00692000" w:rsidRPr="00306F9C">
        <w:rPr>
          <w:lang w:val="en-US"/>
        </w:rPr>
        <w:t xml:space="preserve">a 4 - day symbolic occupation at the institution of </w:t>
      </w:r>
      <w:proofErr w:type="spellStart"/>
      <w:r w:rsidR="00692000" w:rsidRPr="00306F9C">
        <w:rPr>
          <w:lang w:val="en-US"/>
        </w:rPr>
        <w:t>Lechaina</w:t>
      </w:r>
      <w:proofErr w:type="spellEnd"/>
      <w:r w:rsidR="00692000" w:rsidRPr="00306F9C">
        <w:rPr>
          <w:lang w:val="en-US"/>
        </w:rPr>
        <w:t>, demanding immediate government intervention</w:t>
      </w:r>
      <w:r w:rsidR="00A215C2" w:rsidRPr="00306F9C">
        <w:rPr>
          <w:lang w:val="en-US"/>
        </w:rPr>
        <w:t xml:space="preserve"> for improving the living conditions</w:t>
      </w:r>
      <w:r w:rsidR="00A6281D" w:rsidRPr="00306F9C">
        <w:rPr>
          <w:lang w:val="en-US"/>
        </w:rPr>
        <w:t xml:space="preserve"> of the residents</w:t>
      </w:r>
      <w:r w:rsidR="00A215C2" w:rsidRPr="00306F9C">
        <w:rPr>
          <w:lang w:val="en-US"/>
        </w:rPr>
        <w:t xml:space="preserve"> and taking measures for de-</w:t>
      </w:r>
      <w:proofErr w:type="spellStart"/>
      <w:r w:rsidR="00A215C2" w:rsidRPr="00306F9C">
        <w:rPr>
          <w:lang w:val="en-US"/>
        </w:rPr>
        <w:t>institutionalisation</w:t>
      </w:r>
      <w:proofErr w:type="spellEnd"/>
      <w:r w:rsidR="00C03FF8" w:rsidRPr="00306F9C">
        <w:rPr>
          <w:lang w:val="en-US"/>
        </w:rPr>
        <w:t xml:space="preserve">. </w:t>
      </w:r>
      <w:r w:rsidR="00A215C2" w:rsidRPr="00306F9C">
        <w:rPr>
          <w:lang w:val="en-US"/>
        </w:rPr>
        <w:t>It is worth noting t</w:t>
      </w:r>
      <w:r w:rsidR="00C03FF8" w:rsidRPr="00306F9C">
        <w:rPr>
          <w:lang w:val="en-US"/>
        </w:rPr>
        <w:t xml:space="preserve">hat </w:t>
      </w:r>
      <w:r w:rsidR="00A6281D" w:rsidRPr="00306F9C">
        <w:rPr>
          <w:lang w:val="en-US"/>
        </w:rPr>
        <w:t xml:space="preserve">the </w:t>
      </w:r>
      <w:r w:rsidR="00C03FF8" w:rsidRPr="00306F9C">
        <w:rPr>
          <w:lang w:val="en-US"/>
        </w:rPr>
        <w:t>specific institution</w:t>
      </w:r>
      <w:r w:rsidR="00A215C2" w:rsidRPr="00306F9C">
        <w:rPr>
          <w:lang w:val="en-US"/>
        </w:rPr>
        <w:t xml:space="preserve"> ha</w:t>
      </w:r>
      <w:r w:rsidR="00351610" w:rsidRPr="00306F9C">
        <w:rPr>
          <w:lang w:val="en-US"/>
        </w:rPr>
        <w:t>d</w:t>
      </w:r>
      <w:r w:rsidR="00A215C2" w:rsidRPr="00306F9C">
        <w:rPr>
          <w:lang w:val="en-US"/>
        </w:rPr>
        <w:t xml:space="preserve"> been under investigation for violati</w:t>
      </w:r>
      <w:r w:rsidR="00351610" w:rsidRPr="00306F9C">
        <w:rPr>
          <w:lang w:val="en-US"/>
        </w:rPr>
        <w:t>on of</w:t>
      </w:r>
      <w:r w:rsidR="00A215C2" w:rsidRPr="00306F9C">
        <w:rPr>
          <w:lang w:val="en-US"/>
        </w:rPr>
        <w:t xml:space="preserve"> human rights by the Greek Ombudsman for Children’s Rights</w:t>
      </w:r>
      <w:r w:rsidR="00351610" w:rsidRPr="00306F9C">
        <w:rPr>
          <w:lang w:val="en-US"/>
        </w:rPr>
        <w:t xml:space="preserve"> in 2011</w:t>
      </w:r>
      <w:r w:rsidR="00A215C2" w:rsidRPr="00306F9C">
        <w:rPr>
          <w:rStyle w:val="FootnoteReference"/>
          <w:lang w:val="en-US"/>
        </w:rPr>
        <w:footnoteReference w:id="40"/>
      </w:r>
      <w:r w:rsidR="00A215C2" w:rsidRPr="00306F9C">
        <w:rPr>
          <w:lang w:val="en-US"/>
        </w:rPr>
        <w:t xml:space="preserve"> </w:t>
      </w:r>
      <w:r w:rsidR="00E42D78" w:rsidRPr="00306F9C">
        <w:rPr>
          <w:lang w:val="en-US"/>
        </w:rPr>
        <w:t xml:space="preserve">and </w:t>
      </w:r>
      <w:r w:rsidR="005C42A9" w:rsidRPr="00306F9C">
        <w:rPr>
          <w:lang w:val="en-US"/>
        </w:rPr>
        <w:t>had</w:t>
      </w:r>
      <w:r w:rsidR="00E42D78" w:rsidRPr="00306F9C">
        <w:rPr>
          <w:lang w:val="en-US"/>
        </w:rPr>
        <w:t xml:space="preserve"> also </w:t>
      </w:r>
      <w:r w:rsidR="005C42A9" w:rsidRPr="00306F9C">
        <w:rPr>
          <w:lang w:val="en-US"/>
        </w:rPr>
        <w:t xml:space="preserve">been </w:t>
      </w:r>
      <w:r w:rsidR="00E42D78" w:rsidRPr="00306F9C">
        <w:rPr>
          <w:lang w:val="en-US"/>
        </w:rPr>
        <w:t>covered by the BBC</w:t>
      </w:r>
      <w:r w:rsidR="00472DAE">
        <w:rPr>
          <w:lang w:val="en-US"/>
        </w:rPr>
        <w:t>.</w:t>
      </w:r>
      <w:r w:rsidR="00E42D78" w:rsidRPr="00306F9C">
        <w:rPr>
          <w:rStyle w:val="FootnoteReference"/>
          <w:lang w:val="en-US"/>
        </w:rPr>
        <w:footnoteReference w:id="41"/>
      </w:r>
    </w:p>
    <w:p w:rsidR="0010423F" w:rsidRPr="00306F9C" w:rsidRDefault="0010423F" w:rsidP="00123DE3"/>
    <w:p w:rsidR="0010423F" w:rsidRPr="00306F9C" w:rsidRDefault="001E4166" w:rsidP="00123DE3">
      <w:pPr>
        <w:pStyle w:val="Heading2"/>
        <w:rPr>
          <w:szCs w:val="24"/>
          <w:lang w:eastAsia="en-GB"/>
        </w:rPr>
      </w:pPr>
      <w:bookmarkStart w:id="39" w:name="_Toc429999650"/>
      <w:bookmarkStart w:id="40" w:name="_Toc453842125"/>
      <w:r w:rsidRPr="00306F9C">
        <w:rPr>
          <w:szCs w:val="24"/>
          <w:lang w:eastAsia="en-GB"/>
        </w:rPr>
        <w:t>S</w:t>
      </w:r>
      <w:r w:rsidR="0010423F" w:rsidRPr="00306F9C">
        <w:rPr>
          <w:szCs w:val="24"/>
          <w:lang w:eastAsia="en-GB"/>
        </w:rPr>
        <w:t xml:space="preserve">ynergies between </w:t>
      </w:r>
      <w:r w:rsidRPr="00306F9C">
        <w:rPr>
          <w:szCs w:val="24"/>
          <w:lang w:eastAsia="en-GB"/>
        </w:rPr>
        <w:t>developments in the different areas</w:t>
      </w:r>
      <w:bookmarkEnd w:id="39"/>
      <w:bookmarkEnd w:id="40"/>
    </w:p>
    <w:p w:rsidR="00472DAE" w:rsidRDefault="00472DAE" w:rsidP="00123DE3">
      <w:pPr>
        <w:rPr>
          <w:lang w:eastAsia="en-GB"/>
        </w:rPr>
      </w:pPr>
    </w:p>
    <w:p w:rsidR="00610DD2" w:rsidRPr="00306F9C" w:rsidRDefault="00B01981" w:rsidP="00123DE3">
      <w:pPr>
        <w:rPr>
          <w:lang w:eastAsia="en-GB"/>
        </w:rPr>
      </w:pPr>
      <w:r w:rsidRPr="00306F9C">
        <w:rPr>
          <w:lang w:eastAsia="en-GB"/>
        </w:rPr>
        <w:t>It may be useful to re</w:t>
      </w:r>
      <w:r w:rsidR="008D465A" w:rsidRPr="00306F9C">
        <w:rPr>
          <w:lang w:eastAsia="en-GB"/>
        </w:rPr>
        <w:t>state here that the main disability strategies</w:t>
      </w:r>
      <w:r w:rsidR="00E118C8" w:rsidRPr="00306F9C">
        <w:rPr>
          <w:lang w:eastAsia="en-GB"/>
        </w:rPr>
        <w:t xml:space="preserve"> and policy priorities for the forthcoming years are included in the NRP 2015 and the </w:t>
      </w:r>
      <w:r w:rsidR="008D465A" w:rsidRPr="00306F9C">
        <w:rPr>
          <w:lang w:eastAsia="en-GB"/>
        </w:rPr>
        <w:t xml:space="preserve">National </w:t>
      </w:r>
      <w:r w:rsidR="00E118C8" w:rsidRPr="00306F9C">
        <w:rPr>
          <w:lang w:eastAsia="en-GB"/>
        </w:rPr>
        <w:t>S</w:t>
      </w:r>
      <w:r w:rsidR="008D465A" w:rsidRPr="00306F9C">
        <w:rPr>
          <w:lang w:eastAsia="en-GB"/>
        </w:rPr>
        <w:t xml:space="preserve">trategic Framework for </w:t>
      </w:r>
      <w:r w:rsidR="00E118C8" w:rsidRPr="00306F9C">
        <w:rPr>
          <w:lang w:eastAsia="en-GB"/>
        </w:rPr>
        <w:t>S</w:t>
      </w:r>
      <w:r w:rsidR="008D465A" w:rsidRPr="00306F9C">
        <w:rPr>
          <w:lang w:eastAsia="en-GB"/>
        </w:rPr>
        <w:t xml:space="preserve">ocial </w:t>
      </w:r>
      <w:r w:rsidR="00E118C8" w:rsidRPr="00306F9C">
        <w:rPr>
          <w:lang w:eastAsia="en-GB"/>
        </w:rPr>
        <w:t>I</w:t>
      </w:r>
      <w:r w:rsidR="008D465A" w:rsidRPr="00306F9C">
        <w:rPr>
          <w:lang w:eastAsia="en-GB"/>
        </w:rPr>
        <w:t>nclusion 2015-2020</w:t>
      </w:r>
      <w:r w:rsidR="00E118C8" w:rsidRPr="00306F9C">
        <w:rPr>
          <w:lang w:eastAsia="en-GB"/>
        </w:rPr>
        <w:t xml:space="preserve">, which are consistently aligned with specific strands of actions under </w:t>
      </w:r>
      <w:r w:rsidR="007F5FC0" w:rsidRPr="00306F9C">
        <w:rPr>
          <w:lang w:eastAsia="en-GB"/>
        </w:rPr>
        <w:t>the national ESIF 2014-2020 approved program</w:t>
      </w:r>
      <w:r w:rsidR="00E118C8" w:rsidRPr="00306F9C">
        <w:rPr>
          <w:lang w:eastAsia="en-GB"/>
        </w:rPr>
        <w:t xml:space="preserve">. </w:t>
      </w:r>
      <w:r w:rsidR="001907CC" w:rsidRPr="00306F9C">
        <w:rPr>
          <w:lang w:eastAsia="en-GB"/>
        </w:rPr>
        <w:t xml:space="preserve">In addressing the EU2020 targets, </w:t>
      </w:r>
      <w:r w:rsidR="00E118C8" w:rsidRPr="00306F9C">
        <w:rPr>
          <w:lang w:eastAsia="en-GB"/>
        </w:rPr>
        <w:t>the guiding principle of “active inclusion</w:t>
      </w:r>
      <w:r w:rsidR="001907CC" w:rsidRPr="00306F9C">
        <w:rPr>
          <w:rStyle w:val="FootnoteReference"/>
          <w:lang w:eastAsia="en-GB"/>
        </w:rPr>
        <w:footnoteReference w:id="42"/>
      </w:r>
      <w:r w:rsidR="00E118C8" w:rsidRPr="00306F9C">
        <w:rPr>
          <w:lang w:eastAsia="en-GB"/>
        </w:rPr>
        <w:t>”</w:t>
      </w:r>
      <w:r w:rsidR="001907CC" w:rsidRPr="00306F9C">
        <w:rPr>
          <w:lang w:eastAsia="en-GB"/>
        </w:rPr>
        <w:t xml:space="preserve"> is particularly prominent </w:t>
      </w:r>
      <w:r w:rsidR="004E766B" w:rsidRPr="00306F9C">
        <w:rPr>
          <w:lang w:eastAsia="en-GB"/>
        </w:rPr>
        <w:t xml:space="preserve">in these documents </w:t>
      </w:r>
      <w:r w:rsidR="001907CC" w:rsidRPr="00306F9C">
        <w:rPr>
          <w:lang w:eastAsia="en-GB"/>
        </w:rPr>
        <w:t>where it concerns disability,</w:t>
      </w:r>
      <w:r w:rsidR="001F681D" w:rsidRPr="00306F9C">
        <w:rPr>
          <w:lang w:eastAsia="en-GB"/>
        </w:rPr>
        <w:t xml:space="preserve"> thus creating clear and </w:t>
      </w:r>
      <w:proofErr w:type="spellStart"/>
      <w:r w:rsidR="001F681D" w:rsidRPr="00306F9C">
        <w:rPr>
          <w:lang w:eastAsia="en-GB"/>
        </w:rPr>
        <w:t>well designed</w:t>
      </w:r>
      <w:proofErr w:type="spellEnd"/>
      <w:r w:rsidR="001F681D" w:rsidRPr="00306F9C">
        <w:rPr>
          <w:lang w:eastAsia="en-GB"/>
        </w:rPr>
        <w:t xml:space="preserve"> synergies between </w:t>
      </w:r>
      <w:proofErr w:type="gramStart"/>
      <w:r w:rsidR="001F681D" w:rsidRPr="00306F9C">
        <w:rPr>
          <w:lang w:eastAsia="en-GB"/>
        </w:rPr>
        <w:t>employment</w:t>
      </w:r>
      <w:proofErr w:type="gramEnd"/>
      <w:r w:rsidR="001F681D" w:rsidRPr="00306F9C">
        <w:rPr>
          <w:lang w:eastAsia="en-GB"/>
        </w:rPr>
        <w:t>, education and combating poverty/social exclusion</w:t>
      </w:r>
      <w:r w:rsidR="00A23127" w:rsidRPr="00306F9C">
        <w:rPr>
          <w:lang w:eastAsia="en-GB"/>
        </w:rPr>
        <w:t xml:space="preserve">, on a strategic </w:t>
      </w:r>
      <w:r w:rsidR="004E766B" w:rsidRPr="00306F9C">
        <w:rPr>
          <w:lang w:eastAsia="en-GB"/>
        </w:rPr>
        <w:t xml:space="preserve">level </w:t>
      </w:r>
      <w:r w:rsidR="00610DD2" w:rsidRPr="00306F9C">
        <w:rPr>
          <w:lang w:eastAsia="en-GB"/>
        </w:rPr>
        <w:t>at least</w:t>
      </w:r>
      <w:r w:rsidR="00643FB0" w:rsidRPr="00306F9C">
        <w:rPr>
          <w:lang w:eastAsia="en-GB"/>
        </w:rPr>
        <w:t>, as just briefly described in the previous section</w:t>
      </w:r>
      <w:r w:rsidR="00A23127" w:rsidRPr="00306F9C">
        <w:rPr>
          <w:lang w:eastAsia="en-GB"/>
        </w:rPr>
        <w:t xml:space="preserve">. </w:t>
      </w:r>
      <w:r w:rsidR="001907CC" w:rsidRPr="00306F9C">
        <w:rPr>
          <w:lang w:eastAsia="en-GB"/>
        </w:rPr>
        <w:t xml:space="preserve"> </w:t>
      </w:r>
    </w:p>
    <w:p w:rsidR="001F4A20" w:rsidRPr="00306F9C" w:rsidRDefault="00BE3BBC" w:rsidP="00123DE3">
      <w:pPr>
        <w:rPr>
          <w:lang w:eastAsia="en-GB"/>
        </w:rPr>
      </w:pPr>
      <w:r w:rsidRPr="00306F9C">
        <w:rPr>
          <w:lang w:eastAsia="en-GB"/>
        </w:rPr>
        <w:lastRenderedPageBreak/>
        <w:t xml:space="preserve">A recent </w:t>
      </w:r>
      <w:r w:rsidR="00610DD2" w:rsidRPr="00306F9C">
        <w:rPr>
          <w:lang w:eastAsia="en-GB"/>
        </w:rPr>
        <w:t>policy development within that framework</w:t>
      </w:r>
      <w:r w:rsidRPr="00306F9C">
        <w:rPr>
          <w:lang w:eastAsia="en-GB"/>
        </w:rPr>
        <w:t xml:space="preserve"> has been</w:t>
      </w:r>
      <w:r w:rsidR="00992122" w:rsidRPr="00306F9C">
        <w:rPr>
          <w:lang w:eastAsia="en-GB"/>
        </w:rPr>
        <w:t xml:space="preserve"> legislation</w:t>
      </w:r>
      <w:r w:rsidR="00610DD2" w:rsidRPr="00306F9C">
        <w:rPr>
          <w:lang w:eastAsia="en-GB"/>
        </w:rPr>
        <w:t xml:space="preserve"> (Law 4331/2015</w:t>
      </w:r>
      <w:r w:rsidR="00472DAE">
        <w:rPr>
          <w:lang w:eastAsia="en-GB"/>
        </w:rPr>
        <w:t>)</w:t>
      </w:r>
      <w:r w:rsidR="00BC4CB5" w:rsidRPr="00306F9C">
        <w:rPr>
          <w:rStyle w:val="FootnoteReference"/>
          <w:lang w:eastAsia="en-GB"/>
        </w:rPr>
        <w:footnoteReference w:id="43"/>
      </w:r>
      <w:r w:rsidR="00610DD2" w:rsidRPr="00306F9C">
        <w:rPr>
          <w:lang w:eastAsia="en-GB"/>
        </w:rPr>
        <w:t xml:space="preserve"> where</w:t>
      </w:r>
      <w:r w:rsidR="00992122" w:rsidRPr="00306F9C">
        <w:rPr>
          <w:lang w:eastAsia="en-GB"/>
        </w:rPr>
        <w:t>by people with disabilities participating in employment or vocational training schemes (usually through co-</w:t>
      </w:r>
      <w:proofErr w:type="spellStart"/>
      <w:r w:rsidR="00992122" w:rsidRPr="00306F9C">
        <w:rPr>
          <w:lang w:eastAsia="en-GB"/>
        </w:rPr>
        <w:t>funded</w:t>
      </w:r>
      <w:proofErr w:type="spellEnd"/>
      <w:r w:rsidR="00992122" w:rsidRPr="00306F9C">
        <w:rPr>
          <w:lang w:eastAsia="en-GB"/>
        </w:rPr>
        <w:t xml:space="preserve"> ESF projects) retain disability welfare benefits.</w:t>
      </w:r>
    </w:p>
    <w:p w:rsidR="001F4A20" w:rsidRPr="00306F9C" w:rsidRDefault="001F4A20" w:rsidP="00123DE3">
      <w:pPr>
        <w:rPr>
          <w:lang w:eastAsia="en-GB"/>
        </w:rPr>
      </w:pPr>
    </w:p>
    <w:p w:rsidR="00992122" w:rsidRPr="00306F9C" w:rsidRDefault="001F4A20" w:rsidP="00123DE3">
      <w:pPr>
        <w:rPr>
          <w:lang w:eastAsia="en-GB"/>
        </w:rPr>
      </w:pPr>
      <w:r w:rsidRPr="00306F9C">
        <w:rPr>
          <w:lang w:eastAsia="en-GB"/>
        </w:rPr>
        <w:t xml:space="preserve">Bridging the gap between vocational education and the labour market is furthermore attempted in renewed legislation regulating special vocational training units (secondary education), which foresees apprenticeship schemes and attainment of vocational rights upon graduation. It is imperative that pupils with disabilities are not left behind from such schemes, which are currently prioritised mostly for mainstream </w:t>
      </w:r>
      <w:r w:rsidR="00327448" w:rsidRPr="00306F9C">
        <w:rPr>
          <w:lang w:eastAsia="en-GB"/>
        </w:rPr>
        <w:t xml:space="preserve">vocational </w:t>
      </w:r>
      <w:r w:rsidRPr="00306F9C">
        <w:rPr>
          <w:lang w:eastAsia="en-GB"/>
        </w:rPr>
        <w:t xml:space="preserve">education (please see section 5.3 for further discussion). </w:t>
      </w:r>
      <w:r w:rsidR="00BE3BBC" w:rsidRPr="00306F9C">
        <w:rPr>
          <w:lang w:eastAsia="en-GB"/>
        </w:rPr>
        <w:t xml:space="preserve"> </w:t>
      </w:r>
    </w:p>
    <w:p w:rsidR="00327448" w:rsidRPr="00306F9C" w:rsidRDefault="00327448" w:rsidP="00123DE3">
      <w:pPr>
        <w:rPr>
          <w:lang w:eastAsia="en-GB"/>
        </w:rPr>
      </w:pPr>
    </w:p>
    <w:p w:rsidR="0064383B" w:rsidRPr="00306F9C" w:rsidRDefault="00327448" w:rsidP="00123DE3">
      <w:pPr>
        <w:rPr>
          <w:lang w:eastAsia="en-GB"/>
        </w:rPr>
      </w:pPr>
      <w:r w:rsidRPr="00306F9C">
        <w:rPr>
          <w:lang w:eastAsia="en-GB"/>
        </w:rPr>
        <w:t xml:space="preserve">Increasing completion of tertiary education of disabled students as key to improving employment prospects and decreasing risk of poverty/social exclusion is perhaps the least discussed theme across the national reform and action plans. </w:t>
      </w:r>
    </w:p>
    <w:p w:rsidR="001F4A20" w:rsidRPr="00306F9C" w:rsidRDefault="001F4A20" w:rsidP="00123DE3">
      <w:pPr>
        <w:rPr>
          <w:rFonts w:eastAsiaTheme="majorEastAsia"/>
          <w:lang w:eastAsia="en-GB"/>
        </w:rPr>
      </w:pPr>
    </w:p>
    <w:p w:rsidR="0010423F" w:rsidRDefault="004D01C6" w:rsidP="00123DE3">
      <w:pPr>
        <w:pStyle w:val="Heading1"/>
        <w:rPr>
          <w:szCs w:val="24"/>
          <w:lang w:eastAsia="en-GB"/>
        </w:rPr>
      </w:pPr>
      <w:bookmarkStart w:id="41" w:name="_Toc429999651"/>
      <w:bookmarkStart w:id="42" w:name="_Toc453842126"/>
      <w:r w:rsidRPr="00306F9C">
        <w:rPr>
          <w:szCs w:val="24"/>
          <w:lang w:eastAsia="en-GB"/>
        </w:rPr>
        <w:lastRenderedPageBreak/>
        <w:t>Review of the European Semester from a</w:t>
      </w:r>
      <w:r w:rsidR="001E4166" w:rsidRPr="00306F9C">
        <w:rPr>
          <w:szCs w:val="24"/>
          <w:lang w:eastAsia="en-GB"/>
        </w:rPr>
        <w:t xml:space="preserve"> disability perspective</w:t>
      </w:r>
      <w:bookmarkEnd w:id="41"/>
      <w:bookmarkEnd w:id="42"/>
    </w:p>
    <w:p w:rsidR="00472DAE" w:rsidRPr="00472DAE" w:rsidRDefault="00472DAE" w:rsidP="00472DAE">
      <w:pPr>
        <w:rPr>
          <w:lang w:eastAsia="en-GB"/>
        </w:rPr>
      </w:pPr>
    </w:p>
    <w:p w:rsidR="001E4166" w:rsidRPr="00306F9C" w:rsidRDefault="006B7206" w:rsidP="00123DE3">
      <w:pPr>
        <w:pStyle w:val="Heading2"/>
        <w:rPr>
          <w:szCs w:val="24"/>
        </w:rPr>
      </w:pPr>
      <w:bookmarkStart w:id="43" w:name="_Toc429999652"/>
      <w:bookmarkStart w:id="44" w:name="_Toc453842127"/>
      <w:r w:rsidRPr="00306F9C">
        <w:rPr>
          <w:szCs w:val="24"/>
        </w:rPr>
        <w:t>Progress on disability</w:t>
      </w:r>
      <w:r w:rsidR="00A14F67" w:rsidRPr="00306F9C">
        <w:rPr>
          <w:szCs w:val="24"/>
        </w:rPr>
        <w:t xml:space="preserve">-specific </w:t>
      </w:r>
      <w:r w:rsidR="001E4166" w:rsidRPr="00306F9C">
        <w:rPr>
          <w:szCs w:val="24"/>
        </w:rPr>
        <w:t xml:space="preserve">Country </w:t>
      </w:r>
      <w:r w:rsidR="00FA5809" w:rsidRPr="00306F9C">
        <w:rPr>
          <w:szCs w:val="24"/>
        </w:rPr>
        <w:t>S</w:t>
      </w:r>
      <w:r w:rsidR="001E4166" w:rsidRPr="00306F9C">
        <w:rPr>
          <w:szCs w:val="24"/>
        </w:rPr>
        <w:t xml:space="preserve">pecific </w:t>
      </w:r>
      <w:r w:rsidR="00FA5809" w:rsidRPr="00306F9C">
        <w:rPr>
          <w:szCs w:val="24"/>
        </w:rPr>
        <w:t>R</w:t>
      </w:r>
      <w:r w:rsidR="001E4166" w:rsidRPr="00306F9C">
        <w:rPr>
          <w:szCs w:val="24"/>
        </w:rPr>
        <w:t>ecommendations (CSRs)</w:t>
      </w:r>
      <w:bookmarkEnd w:id="43"/>
      <w:bookmarkEnd w:id="44"/>
    </w:p>
    <w:p w:rsidR="001E4166" w:rsidRPr="00306F9C" w:rsidRDefault="001E4166" w:rsidP="00123DE3">
      <w:pPr>
        <w:rPr>
          <w:lang w:eastAsia="en-GB"/>
        </w:rPr>
      </w:pPr>
    </w:p>
    <w:p w:rsidR="00B01981" w:rsidRPr="00306F9C" w:rsidRDefault="00B01981" w:rsidP="00123DE3">
      <w:pPr>
        <w:rPr>
          <w:lang w:eastAsia="en-GB"/>
        </w:rPr>
      </w:pPr>
      <w:r w:rsidRPr="00306F9C">
        <w:rPr>
          <w:lang w:eastAsia="en-GB"/>
        </w:rPr>
        <w:t xml:space="preserve">There are no disability </w:t>
      </w:r>
      <w:r w:rsidR="00B60649" w:rsidRPr="00306F9C">
        <w:rPr>
          <w:lang w:eastAsia="en-GB"/>
        </w:rPr>
        <w:t>–</w:t>
      </w:r>
      <w:r w:rsidRPr="00306F9C">
        <w:rPr>
          <w:lang w:eastAsia="en-GB"/>
        </w:rPr>
        <w:t xml:space="preserve"> </w:t>
      </w:r>
      <w:r w:rsidR="00B60649" w:rsidRPr="00306F9C">
        <w:rPr>
          <w:lang w:eastAsia="en-GB"/>
        </w:rPr>
        <w:t xml:space="preserve">specific CSRs for Greece. </w:t>
      </w:r>
    </w:p>
    <w:p w:rsidR="006B7206" w:rsidRPr="00306F9C" w:rsidRDefault="006B7206" w:rsidP="00123DE3">
      <w:pPr>
        <w:rPr>
          <w:lang w:eastAsia="en-GB"/>
        </w:rPr>
      </w:pPr>
    </w:p>
    <w:p w:rsidR="006B7206" w:rsidRPr="00306F9C" w:rsidRDefault="00A14F67" w:rsidP="00123DE3">
      <w:pPr>
        <w:pStyle w:val="Heading2"/>
        <w:rPr>
          <w:szCs w:val="24"/>
          <w:lang w:eastAsia="en-GB"/>
        </w:rPr>
      </w:pPr>
      <w:bookmarkStart w:id="45" w:name="_Toc429999653"/>
      <w:bookmarkStart w:id="46" w:name="_Toc453842128"/>
      <w:r w:rsidRPr="00306F9C">
        <w:rPr>
          <w:szCs w:val="24"/>
          <w:lang w:eastAsia="en-GB"/>
        </w:rPr>
        <w:t>Progress on o</w:t>
      </w:r>
      <w:r w:rsidR="006B7206" w:rsidRPr="00306F9C">
        <w:rPr>
          <w:szCs w:val="24"/>
          <w:lang w:eastAsia="en-GB"/>
        </w:rPr>
        <w:t xml:space="preserve">ther CSRs </w:t>
      </w:r>
      <w:r w:rsidRPr="00306F9C">
        <w:rPr>
          <w:szCs w:val="24"/>
          <w:lang w:eastAsia="en-GB"/>
        </w:rPr>
        <w:t>from a</w:t>
      </w:r>
      <w:r w:rsidR="006B7206" w:rsidRPr="00306F9C">
        <w:rPr>
          <w:szCs w:val="24"/>
          <w:lang w:eastAsia="en-GB"/>
        </w:rPr>
        <w:t xml:space="preserve"> disability perspective</w:t>
      </w:r>
      <w:bookmarkEnd w:id="45"/>
      <w:bookmarkEnd w:id="46"/>
    </w:p>
    <w:p w:rsidR="00472DAE" w:rsidRDefault="00472DAE" w:rsidP="00123DE3">
      <w:pPr>
        <w:rPr>
          <w:lang w:eastAsia="en-GB"/>
        </w:rPr>
      </w:pPr>
    </w:p>
    <w:p w:rsidR="006B7206" w:rsidRPr="00306F9C" w:rsidRDefault="00B60649" w:rsidP="00123DE3">
      <w:pPr>
        <w:rPr>
          <w:lang w:eastAsia="en-GB"/>
        </w:rPr>
      </w:pPr>
      <w:r w:rsidRPr="00306F9C">
        <w:rPr>
          <w:lang w:eastAsia="en-GB"/>
        </w:rPr>
        <w:t xml:space="preserve">There are no CSRs for Greece. </w:t>
      </w:r>
    </w:p>
    <w:p w:rsidR="006B7206" w:rsidRPr="00306F9C" w:rsidRDefault="006B7206" w:rsidP="00123DE3">
      <w:pPr>
        <w:rPr>
          <w:lang w:eastAsia="en-GB"/>
        </w:rPr>
      </w:pPr>
    </w:p>
    <w:p w:rsidR="006B7206" w:rsidRPr="00306F9C" w:rsidRDefault="006B7206" w:rsidP="00123DE3">
      <w:pPr>
        <w:pStyle w:val="Heading2"/>
        <w:rPr>
          <w:szCs w:val="24"/>
          <w:lang w:eastAsia="en-GB"/>
        </w:rPr>
      </w:pPr>
      <w:bookmarkStart w:id="47" w:name="_Toc429999654"/>
      <w:bookmarkStart w:id="48" w:name="_Toc453842129"/>
      <w:r w:rsidRPr="00306F9C">
        <w:rPr>
          <w:szCs w:val="24"/>
          <w:lang w:eastAsia="en-GB"/>
        </w:rPr>
        <w:t xml:space="preserve">Assessment of disability issues in the </w:t>
      </w:r>
      <w:r w:rsidR="00A14F67" w:rsidRPr="00306F9C">
        <w:rPr>
          <w:szCs w:val="24"/>
          <w:lang w:eastAsia="en-GB"/>
        </w:rPr>
        <w:t>Country Report</w:t>
      </w:r>
      <w:r w:rsidR="008D2A5F" w:rsidRPr="00306F9C">
        <w:rPr>
          <w:szCs w:val="24"/>
          <w:lang w:eastAsia="en-GB"/>
        </w:rPr>
        <w:t xml:space="preserve"> (</w:t>
      </w:r>
      <w:r w:rsidR="00A14F67" w:rsidRPr="00306F9C">
        <w:rPr>
          <w:szCs w:val="24"/>
          <w:lang w:eastAsia="en-GB"/>
        </w:rPr>
        <w:t>CR</w:t>
      </w:r>
      <w:r w:rsidR="008D2A5F" w:rsidRPr="00306F9C">
        <w:rPr>
          <w:szCs w:val="24"/>
          <w:lang w:eastAsia="en-GB"/>
        </w:rPr>
        <w:t>)</w:t>
      </w:r>
      <w:bookmarkEnd w:id="47"/>
      <w:bookmarkEnd w:id="48"/>
    </w:p>
    <w:p w:rsidR="00472DAE" w:rsidRDefault="00472DAE" w:rsidP="00123DE3"/>
    <w:p w:rsidR="004515AA" w:rsidRPr="00306F9C" w:rsidRDefault="002B402D" w:rsidP="00123DE3">
      <w:pPr>
        <w:rPr>
          <w:lang w:eastAsia="en-GB"/>
        </w:rPr>
      </w:pPr>
      <w:r w:rsidRPr="00306F9C">
        <w:t>The Staff Working Document produced for Greece in 2015 concern</w:t>
      </w:r>
      <w:r w:rsidR="00B60649" w:rsidRPr="00306F9C">
        <w:t>s</w:t>
      </w:r>
      <w:r w:rsidRPr="00306F9C">
        <w:t xml:space="preserve">  specific</w:t>
      </w:r>
      <w:r w:rsidR="00B60649" w:rsidRPr="00306F9C">
        <w:t>ally</w:t>
      </w:r>
      <w:r w:rsidRPr="00306F9C">
        <w:t xml:space="preserve"> an “</w:t>
      </w:r>
      <w:r w:rsidRPr="00306F9C">
        <w:rPr>
          <w:i/>
        </w:rPr>
        <w:t>Assessment of the Social Impact of the new Stability Support Programme for Greece</w:t>
      </w:r>
      <w:r w:rsidRPr="00306F9C">
        <w:t xml:space="preserve">” </w:t>
      </w:r>
      <w:r w:rsidRPr="00306F9C">
        <w:rPr>
          <w:lang w:eastAsia="en-GB"/>
        </w:rPr>
        <w:t xml:space="preserve">as the </w:t>
      </w:r>
      <w:r w:rsidR="00F44391" w:rsidRPr="00306F9C">
        <w:rPr>
          <w:lang w:eastAsia="en-GB"/>
        </w:rPr>
        <w:t>E</w:t>
      </w:r>
      <w:r w:rsidRPr="00306F9C">
        <w:rPr>
          <w:lang w:eastAsia="en-GB"/>
        </w:rPr>
        <w:t xml:space="preserve">conomic </w:t>
      </w:r>
      <w:r w:rsidR="00F44391" w:rsidRPr="00306F9C">
        <w:rPr>
          <w:lang w:eastAsia="en-GB"/>
        </w:rPr>
        <w:t>A</w:t>
      </w:r>
      <w:r w:rsidRPr="00306F9C">
        <w:rPr>
          <w:lang w:eastAsia="en-GB"/>
        </w:rPr>
        <w:t xml:space="preserve">djustment </w:t>
      </w:r>
      <w:r w:rsidR="00F44391" w:rsidRPr="00306F9C">
        <w:rPr>
          <w:lang w:eastAsia="en-GB"/>
        </w:rPr>
        <w:t>P</w:t>
      </w:r>
      <w:r w:rsidRPr="00306F9C">
        <w:rPr>
          <w:lang w:eastAsia="en-GB"/>
        </w:rPr>
        <w:t>rogramme and the new Memorandum of Understanding</w:t>
      </w:r>
      <w:r w:rsidR="00F44391" w:rsidRPr="00306F9C">
        <w:rPr>
          <w:lang w:eastAsia="en-GB"/>
        </w:rPr>
        <w:t xml:space="preserve"> (19</w:t>
      </w:r>
      <w:r w:rsidR="00F44391" w:rsidRPr="00306F9C">
        <w:rPr>
          <w:vertAlign w:val="superscript"/>
          <w:lang w:eastAsia="en-GB"/>
        </w:rPr>
        <w:t>th</w:t>
      </w:r>
      <w:r w:rsidR="00F44391" w:rsidRPr="00306F9C">
        <w:rPr>
          <w:lang w:eastAsia="en-GB"/>
        </w:rPr>
        <w:t xml:space="preserve"> August 2015)</w:t>
      </w:r>
      <w:r w:rsidRPr="00306F9C">
        <w:rPr>
          <w:lang w:eastAsia="en-GB"/>
        </w:rPr>
        <w:t xml:space="preserve"> apply. In the same framework another document was communicated by the Commission </w:t>
      </w:r>
      <w:r w:rsidR="000F5E46" w:rsidRPr="00306F9C">
        <w:rPr>
          <w:lang w:eastAsia="en-GB"/>
        </w:rPr>
        <w:t>with regards to enabling effective use of EU funds for generating jobs and growth</w:t>
      </w:r>
      <w:r w:rsidR="00472DAE">
        <w:rPr>
          <w:lang w:eastAsia="en-GB"/>
        </w:rPr>
        <w:t>,</w:t>
      </w:r>
      <w:r w:rsidRPr="00306F9C">
        <w:rPr>
          <w:rStyle w:val="FootnoteReference"/>
          <w:lang w:eastAsia="en-GB"/>
        </w:rPr>
        <w:footnoteReference w:id="44"/>
      </w:r>
      <w:r w:rsidR="000F5E46" w:rsidRPr="00306F9C">
        <w:rPr>
          <w:lang w:eastAsia="en-GB"/>
        </w:rPr>
        <w:t xml:space="preserve"> which is perhaps more suitable to discuss in the relevant section</w:t>
      </w:r>
      <w:r w:rsidRPr="00306F9C">
        <w:rPr>
          <w:lang w:eastAsia="en-GB"/>
        </w:rPr>
        <w:t xml:space="preserve"> </w:t>
      </w:r>
      <w:r w:rsidR="000F5E46" w:rsidRPr="00306F9C">
        <w:rPr>
          <w:lang w:eastAsia="en-GB"/>
        </w:rPr>
        <w:t>below.</w:t>
      </w:r>
    </w:p>
    <w:p w:rsidR="001F035A" w:rsidRPr="00306F9C" w:rsidRDefault="001F035A" w:rsidP="00123DE3">
      <w:pPr>
        <w:rPr>
          <w:lang w:eastAsia="en-GB"/>
        </w:rPr>
      </w:pPr>
    </w:p>
    <w:p w:rsidR="001F035A" w:rsidRPr="00306F9C" w:rsidRDefault="001F035A" w:rsidP="00123DE3">
      <w:pPr>
        <w:rPr>
          <w:lang w:eastAsia="en-GB"/>
        </w:rPr>
      </w:pPr>
      <w:r w:rsidRPr="00306F9C">
        <w:rPr>
          <w:lang w:eastAsia="en-GB"/>
        </w:rPr>
        <w:t>There is no specific reference to disability within th</w:t>
      </w:r>
      <w:r w:rsidR="009C0209" w:rsidRPr="00306F9C">
        <w:rPr>
          <w:lang w:eastAsia="en-GB"/>
        </w:rPr>
        <w:t>at</w:t>
      </w:r>
      <w:r w:rsidRPr="00306F9C">
        <w:rPr>
          <w:lang w:eastAsia="en-GB"/>
        </w:rPr>
        <w:t xml:space="preserve"> SWD, however some of the major reforms envisaged</w:t>
      </w:r>
      <w:r w:rsidR="009C0209" w:rsidRPr="00306F9C">
        <w:rPr>
          <w:lang w:eastAsia="en-GB"/>
        </w:rPr>
        <w:t xml:space="preserve"> in the fields of employment, education and social welfare</w:t>
      </w:r>
      <w:r w:rsidRPr="00306F9C">
        <w:rPr>
          <w:lang w:eastAsia="en-GB"/>
        </w:rPr>
        <w:t xml:space="preserve"> have the potential to address disability equality gaps</w:t>
      </w:r>
      <w:r w:rsidR="00CE6C49" w:rsidRPr="00306F9C">
        <w:rPr>
          <w:lang w:eastAsia="en-GB"/>
        </w:rPr>
        <w:t xml:space="preserve"> and risk of poverty/social exclusion</w:t>
      </w:r>
      <w:r w:rsidRPr="00306F9C">
        <w:rPr>
          <w:lang w:eastAsia="en-GB"/>
        </w:rPr>
        <w:t>, provided that insight</w:t>
      </w:r>
      <w:r w:rsidR="004710E0" w:rsidRPr="00306F9C">
        <w:rPr>
          <w:lang w:eastAsia="en-GB"/>
        </w:rPr>
        <w:t xml:space="preserve"> into disability issues</w:t>
      </w:r>
      <w:r w:rsidRPr="00306F9C">
        <w:rPr>
          <w:lang w:eastAsia="en-GB"/>
        </w:rPr>
        <w:t xml:space="preserve"> </w:t>
      </w:r>
      <w:r w:rsidR="004710E0" w:rsidRPr="00306F9C">
        <w:rPr>
          <w:lang w:eastAsia="en-GB"/>
        </w:rPr>
        <w:t>will inform</w:t>
      </w:r>
      <w:r w:rsidRPr="00306F9C">
        <w:rPr>
          <w:lang w:eastAsia="en-GB"/>
        </w:rPr>
        <w:t xml:space="preserve"> the relevant policy making mechanisms. </w:t>
      </w:r>
    </w:p>
    <w:p w:rsidR="004C4895" w:rsidRPr="00306F9C" w:rsidRDefault="004C4895" w:rsidP="00123DE3">
      <w:pPr>
        <w:rPr>
          <w:lang w:eastAsia="en-GB"/>
        </w:rPr>
      </w:pPr>
    </w:p>
    <w:p w:rsidR="00AE7933" w:rsidRPr="00306F9C" w:rsidRDefault="004C4895" w:rsidP="00123DE3">
      <w:pPr>
        <w:rPr>
          <w:lang w:eastAsia="en-GB"/>
        </w:rPr>
      </w:pPr>
      <w:r w:rsidRPr="00306F9C">
        <w:rPr>
          <w:lang w:eastAsia="en-GB"/>
        </w:rPr>
        <w:t xml:space="preserve">Indicatively, reforming the Public Employment Service (p. 15) is planned to include a national telephone enquiry service, which could potentially improve </w:t>
      </w:r>
      <w:r w:rsidR="00EE17F0" w:rsidRPr="00306F9C">
        <w:rPr>
          <w:lang w:eastAsia="en-GB"/>
        </w:rPr>
        <w:t>access to</w:t>
      </w:r>
      <w:r w:rsidR="00C05F27" w:rsidRPr="00306F9C">
        <w:rPr>
          <w:lang w:eastAsia="en-GB"/>
        </w:rPr>
        <w:t xml:space="preserve"> and accessibility of</w:t>
      </w:r>
      <w:r w:rsidR="00EE17F0" w:rsidRPr="00306F9C">
        <w:rPr>
          <w:lang w:eastAsia="en-GB"/>
        </w:rPr>
        <w:t xml:space="preserve"> </w:t>
      </w:r>
      <w:r w:rsidRPr="00306F9C">
        <w:rPr>
          <w:lang w:eastAsia="en-GB"/>
        </w:rPr>
        <w:t>information</w:t>
      </w:r>
      <w:r w:rsidR="005F55C9" w:rsidRPr="00306F9C">
        <w:rPr>
          <w:lang w:eastAsia="en-GB"/>
        </w:rPr>
        <w:t xml:space="preserve"> and communication</w:t>
      </w:r>
      <w:r w:rsidR="00EE17F0" w:rsidRPr="00306F9C">
        <w:rPr>
          <w:lang w:eastAsia="en-GB"/>
        </w:rPr>
        <w:t xml:space="preserve"> regarding employment programs for instance</w:t>
      </w:r>
      <w:r w:rsidR="00C05F27" w:rsidRPr="00306F9C">
        <w:rPr>
          <w:lang w:eastAsia="en-GB"/>
        </w:rPr>
        <w:t>. However, that</w:t>
      </w:r>
      <w:r w:rsidR="00264D00" w:rsidRPr="00306F9C">
        <w:rPr>
          <w:lang w:eastAsia="en-GB"/>
        </w:rPr>
        <w:t xml:space="preserve"> would be inadequate in terms of </w:t>
      </w:r>
      <w:r w:rsidR="009A4021" w:rsidRPr="00306F9C">
        <w:rPr>
          <w:lang w:eastAsia="en-GB"/>
        </w:rPr>
        <w:t>ensuring accessibility of information for different impairment groups and across employment services (e.g. physical infrastructure, website, print information, consultancy programs, vocational training schemes and so on)</w:t>
      </w:r>
      <w:r w:rsidR="0023651D" w:rsidRPr="00306F9C">
        <w:rPr>
          <w:lang w:eastAsia="en-GB"/>
        </w:rPr>
        <w:t>.</w:t>
      </w:r>
      <w:r w:rsidR="009A4021" w:rsidRPr="00306F9C">
        <w:rPr>
          <w:lang w:eastAsia="en-GB"/>
        </w:rPr>
        <w:t xml:space="preserve"> </w:t>
      </w:r>
      <w:r w:rsidR="0023651D" w:rsidRPr="00306F9C">
        <w:rPr>
          <w:lang w:eastAsia="en-GB"/>
        </w:rPr>
        <w:t>In order to ensure increased participation of disabled people in ALPs – which form</w:t>
      </w:r>
      <w:r w:rsidR="00C05F27" w:rsidRPr="00306F9C">
        <w:rPr>
          <w:lang w:eastAsia="en-GB"/>
        </w:rPr>
        <w:t>s</w:t>
      </w:r>
      <w:r w:rsidR="0023651D" w:rsidRPr="00306F9C">
        <w:rPr>
          <w:lang w:eastAsia="en-GB"/>
        </w:rPr>
        <w:t xml:space="preserve"> a priority in the NRP (2015), t</w:t>
      </w:r>
      <w:r w:rsidR="005F55C9" w:rsidRPr="00306F9C">
        <w:rPr>
          <w:lang w:eastAsia="en-GB"/>
        </w:rPr>
        <w:t xml:space="preserve">he issue of accessibility of information and communication should be </w:t>
      </w:r>
      <w:r w:rsidR="00264D00" w:rsidRPr="00306F9C">
        <w:rPr>
          <w:lang w:eastAsia="en-GB"/>
        </w:rPr>
        <w:t xml:space="preserve">mainstreamed in the redesign of infrastructure and services </w:t>
      </w:r>
      <w:r w:rsidR="009A4021" w:rsidRPr="00306F9C">
        <w:rPr>
          <w:lang w:eastAsia="en-GB"/>
        </w:rPr>
        <w:t>as a whole.</w:t>
      </w:r>
    </w:p>
    <w:p w:rsidR="009A4021" w:rsidRPr="00306F9C" w:rsidRDefault="009A4021" w:rsidP="00123DE3">
      <w:pPr>
        <w:rPr>
          <w:lang w:eastAsia="en-GB"/>
        </w:rPr>
      </w:pPr>
    </w:p>
    <w:p w:rsidR="00DF751D" w:rsidRPr="00306F9C" w:rsidRDefault="00AE7933" w:rsidP="00123DE3">
      <w:pPr>
        <w:rPr>
          <w:lang w:val="en-US" w:eastAsia="en-GB"/>
        </w:rPr>
      </w:pPr>
      <w:r w:rsidRPr="00306F9C">
        <w:rPr>
          <w:lang w:eastAsia="en-GB"/>
        </w:rPr>
        <w:t xml:space="preserve">Similarly, “modernisation of education” is seen as crucial for the future growth of the </w:t>
      </w:r>
      <w:r w:rsidR="005F5200" w:rsidRPr="00306F9C">
        <w:rPr>
          <w:lang w:eastAsia="en-GB"/>
        </w:rPr>
        <w:t xml:space="preserve">economy, whilst plans target </w:t>
      </w:r>
      <w:r w:rsidRPr="00306F9C">
        <w:rPr>
          <w:lang w:eastAsia="en-GB"/>
        </w:rPr>
        <w:t>specific</w:t>
      </w:r>
      <w:r w:rsidR="005F5200" w:rsidRPr="00306F9C">
        <w:rPr>
          <w:lang w:eastAsia="en-GB"/>
        </w:rPr>
        <w:t>ally</w:t>
      </w:r>
      <w:r w:rsidRPr="00306F9C">
        <w:rPr>
          <w:lang w:eastAsia="en-GB"/>
        </w:rPr>
        <w:t xml:space="preserve"> “education evaluation, </w:t>
      </w:r>
      <w:r w:rsidRPr="00306F9C">
        <w:rPr>
          <w:lang w:val="en-US" w:eastAsia="en-GB"/>
        </w:rPr>
        <w:t xml:space="preserve">governance of higher education and efficiency and autonomy of schools” (p. 14). </w:t>
      </w:r>
      <w:r w:rsidR="0043020D" w:rsidRPr="00306F9C">
        <w:rPr>
          <w:lang w:val="en-US" w:eastAsia="en-GB"/>
        </w:rPr>
        <w:t>From a disability perspective, t</w:t>
      </w:r>
      <w:r w:rsidR="0000296C" w:rsidRPr="00306F9C">
        <w:rPr>
          <w:lang w:val="en-US" w:eastAsia="en-GB"/>
        </w:rPr>
        <w:t xml:space="preserve">his should </w:t>
      </w:r>
      <w:r w:rsidR="00655EED" w:rsidRPr="00306F9C">
        <w:rPr>
          <w:lang w:val="en-US" w:eastAsia="en-GB"/>
        </w:rPr>
        <w:t xml:space="preserve">address </w:t>
      </w:r>
      <w:r w:rsidR="00E17398" w:rsidRPr="00306F9C">
        <w:rPr>
          <w:lang w:val="en-US" w:eastAsia="en-GB"/>
        </w:rPr>
        <w:t xml:space="preserve">monitoring/ </w:t>
      </w:r>
      <w:r w:rsidR="00DF751D" w:rsidRPr="00306F9C">
        <w:rPr>
          <w:lang w:val="en-US" w:eastAsia="en-GB"/>
        </w:rPr>
        <w:t>evaluation of</w:t>
      </w:r>
      <w:r w:rsidR="00655EED" w:rsidRPr="00306F9C">
        <w:rPr>
          <w:lang w:val="en-US" w:eastAsia="en-GB"/>
        </w:rPr>
        <w:t xml:space="preserve"> </w:t>
      </w:r>
      <w:r w:rsidR="00E17398" w:rsidRPr="00306F9C">
        <w:rPr>
          <w:lang w:val="en-US" w:eastAsia="en-GB"/>
        </w:rPr>
        <w:t xml:space="preserve">equal </w:t>
      </w:r>
      <w:r w:rsidR="00655EED" w:rsidRPr="00306F9C">
        <w:rPr>
          <w:lang w:val="en-US" w:eastAsia="en-GB"/>
        </w:rPr>
        <w:t>access to education (</w:t>
      </w:r>
      <w:r w:rsidR="0043020D" w:rsidRPr="00306F9C">
        <w:rPr>
          <w:lang w:val="en-US" w:eastAsia="en-GB"/>
        </w:rPr>
        <w:t xml:space="preserve">a priority for </w:t>
      </w:r>
      <w:r w:rsidR="00655EED" w:rsidRPr="00306F9C">
        <w:rPr>
          <w:lang w:val="en-US" w:eastAsia="en-GB"/>
        </w:rPr>
        <w:t>NRP 2015) and successful inclusion in mainstream classes</w:t>
      </w:r>
      <w:r w:rsidR="00E17398" w:rsidRPr="00306F9C">
        <w:rPr>
          <w:lang w:val="en-US" w:eastAsia="en-GB"/>
        </w:rPr>
        <w:t>. P</w:t>
      </w:r>
      <w:r w:rsidR="00DF751D" w:rsidRPr="00306F9C">
        <w:rPr>
          <w:lang w:val="en-US" w:eastAsia="en-GB"/>
        </w:rPr>
        <w:t>arameters</w:t>
      </w:r>
      <w:r w:rsidR="00E17398" w:rsidRPr="00306F9C">
        <w:rPr>
          <w:lang w:val="en-US" w:eastAsia="en-GB"/>
        </w:rPr>
        <w:t xml:space="preserve"> to consider</w:t>
      </w:r>
      <w:r w:rsidR="00DF751D" w:rsidRPr="00306F9C">
        <w:rPr>
          <w:lang w:val="en-US" w:eastAsia="en-GB"/>
        </w:rPr>
        <w:t xml:space="preserve"> could be </w:t>
      </w:r>
      <w:r w:rsidR="00E17398" w:rsidRPr="00306F9C">
        <w:rPr>
          <w:lang w:val="en-US" w:eastAsia="en-GB"/>
        </w:rPr>
        <w:t xml:space="preserve">for instance </w:t>
      </w:r>
      <w:r w:rsidR="00DF751D" w:rsidRPr="00306F9C">
        <w:rPr>
          <w:lang w:val="en-US" w:eastAsia="en-GB"/>
        </w:rPr>
        <w:t>physical accessibility, teaching support and technical aids available</w:t>
      </w:r>
      <w:r w:rsidR="00655EED" w:rsidRPr="00306F9C">
        <w:rPr>
          <w:lang w:val="en-US" w:eastAsia="en-GB"/>
        </w:rPr>
        <w:t xml:space="preserve">, as well as </w:t>
      </w:r>
      <w:r w:rsidR="00E17398" w:rsidRPr="00306F9C">
        <w:rPr>
          <w:lang w:val="en-US" w:eastAsia="en-GB"/>
        </w:rPr>
        <w:t xml:space="preserve">plans for </w:t>
      </w:r>
      <w:r w:rsidR="00655EED" w:rsidRPr="00306F9C">
        <w:rPr>
          <w:lang w:val="en-US" w:eastAsia="en-GB"/>
        </w:rPr>
        <w:t>improving educational achievement for pupils with disabilities which evidence suggests is extreme</w:t>
      </w:r>
      <w:r w:rsidR="00E16887" w:rsidRPr="00306F9C">
        <w:rPr>
          <w:lang w:val="en-US" w:eastAsia="en-GB"/>
        </w:rPr>
        <w:t>ly low</w:t>
      </w:r>
      <w:r w:rsidR="0043020D" w:rsidRPr="00306F9C">
        <w:rPr>
          <w:lang w:val="en-US" w:eastAsia="en-GB"/>
        </w:rPr>
        <w:t xml:space="preserve"> (relevant data </w:t>
      </w:r>
      <w:r w:rsidR="0043020D" w:rsidRPr="00306F9C">
        <w:rPr>
          <w:lang w:val="en-US" w:eastAsia="en-GB"/>
        </w:rPr>
        <w:lastRenderedPageBreak/>
        <w:t>outlined under section 2.3.1)</w:t>
      </w:r>
      <w:r w:rsidR="004E4F0C" w:rsidRPr="00306F9C">
        <w:rPr>
          <w:lang w:val="en-US" w:eastAsia="en-GB"/>
        </w:rPr>
        <w:t>.</w:t>
      </w:r>
      <w:r w:rsidR="004710E0" w:rsidRPr="00306F9C">
        <w:rPr>
          <w:lang w:val="en-US" w:eastAsia="en-GB"/>
        </w:rPr>
        <w:t xml:space="preserve"> In principle, these have formed part of the national </w:t>
      </w:r>
      <w:r w:rsidR="001F4A20" w:rsidRPr="00306F9C">
        <w:rPr>
          <w:lang w:val="en-US" w:eastAsia="en-GB"/>
        </w:rPr>
        <w:t>reform program</w:t>
      </w:r>
      <w:r w:rsidR="004710E0" w:rsidRPr="00306F9C">
        <w:rPr>
          <w:lang w:val="en-US" w:eastAsia="en-GB"/>
        </w:rPr>
        <w:t xml:space="preserve"> in education</w:t>
      </w:r>
      <w:r w:rsidR="001F4A20" w:rsidRPr="00306F9C">
        <w:rPr>
          <w:lang w:val="en-US" w:eastAsia="en-GB"/>
        </w:rPr>
        <w:t xml:space="preserve"> so far</w:t>
      </w:r>
      <w:r w:rsidR="00BA4FC2" w:rsidRPr="00306F9C">
        <w:rPr>
          <w:lang w:val="en-US" w:eastAsia="en-GB"/>
        </w:rPr>
        <w:t xml:space="preserve">, but there has not been an evaluation of progress of implementation of issues relevant to disability. </w:t>
      </w:r>
    </w:p>
    <w:p w:rsidR="00DF751D" w:rsidRPr="00306F9C" w:rsidRDefault="00DF751D" w:rsidP="00123DE3">
      <w:pPr>
        <w:rPr>
          <w:lang w:val="en-US" w:eastAsia="en-GB"/>
        </w:rPr>
      </w:pPr>
    </w:p>
    <w:p w:rsidR="00543B5B" w:rsidRPr="00306F9C" w:rsidRDefault="00DF751D" w:rsidP="00123DE3">
      <w:pPr>
        <w:rPr>
          <w:lang w:val="en-US" w:eastAsia="en-GB"/>
        </w:rPr>
      </w:pPr>
      <w:r w:rsidRPr="00306F9C">
        <w:rPr>
          <w:lang w:val="en-US" w:eastAsia="en-GB"/>
        </w:rPr>
        <w:t xml:space="preserve">Equally important </w:t>
      </w:r>
      <w:r w:rsidR="0013469B" w:rsidRPr="00306F9C">
        <w:rPr>
          <w:lang w:val="en-US" w:eastAsia="en-GB"/>
        </w:rPr>
        <w:t xml:space="preserve">in the field of vocational education </w:t>
      </w:r>
      <w:r w:rsidRPr="00306F9C">
        <w:rPr>
          <w:lang w:val="en-US" w:eastAsia="en-GB"/>
        </w:rPr>
        <w:t xml:space="preserve">is the </w:t>
      </w:r>
      <w:r w:rsidR="0013469B" w:rsidRPr="00306F9C">
        <w:rPr>
          <w:lang w:val="en-US" w:eastAsia="en-GB"/>
        </w:rPr>
        <w:t>reform adopted in Law 4186/2013</w:t>
      </w:r>
      <w:r w:rsidR="00472DAE">
        <w:rPr>
          <w:lang w:val="en-US" w:eastAsia="en-GB"/>
        </w:rPr>
        <w:t>,</w:t>
      </w:r>
      <w:r w:rsidR="00E170B3" w:rsidRPr="00306F9C">
        <w:rPr>
          <w:rStyle w:val="FootnoteReference"/>
          <w:lang w:val="en-US" w:eastAsia="en-GB"/>
        </w:rPr>
        <w:footnoteReference w:id="45"/>
      </w:r>
      <w:r w:rsidR="0013469B" w:rsidRPr="00306F9C">
        <w:rPr>
          <w:lang w:val="en-US" w:eastAsia="en-GB"/>
        </w:rPr>
        <w:t xml:space="preserve"> which introduces apprenticeship schemes across all units of vocational (secondary) education, including equally special educational units. In the Third Memorandum of Understanding</w:t>
      </w:r>
      <w:r w:rsidRPr="00306F9C">
        <w:rPr>
          <w:lang w:val="en-US" w:eastAsia="en-GB"/>
        </w:rPr>
        <w:t xml:space="preserve"> </w:t>
      </w:r>
      <w:r w:rsidR="0013469B" w:rsidRPr="00306F9C">
        <w:rPr>
          <w:lang w:val="en-US" w:eastAsia="en-GB"/>
        </w:rPr>
        <w:t>specific actions are outlined for the successful implementation of such plans, requiring that by 2016-2017 such schemes are available for “all vocational education (EPAS and IEK</w:t>
      </w:r>
      <w:r w:rsidR="00472DAE">
        <w:rPr>
          <w:lang w:val="en-US" w:eastAsia="en-GB"/>
        </w:rPr>
        <w:t>)</w:t>
      </w:r>
      <w:r w:rsidR="0013469B" w:rsidRPr="00306F9C">
        <w:rPr>
          <w:rStyle w:val="FootnoteReference"/>
          <w:lang w:val="en-US" w:eastAsia="en-GB"/>
        </w:rPr>
        <w:footnoteReference w:id="46"/>
      </w:r>
      <w:r w:rsidR="0013469B" w:rsidRPr="00306F9C">
        <w:rPr>
          <w:lang w:val="en-US" w:eastAsia="en-GB"/>
        </w:rPr>
        <w:t xml:space="preserve"> students” and “at least 33% of all technical secondary education (EPAL) students”. </w:t>
      </w:r>
      <w:r w:rsidR="003B057E" w:rsidRPr="00306F9C">
        <w:rPr>
          <w:lang w:val="en-US" w:eastAsia="en-GB"/>
        </w:rPr>
        <w:t>Unless addressed in future relevant actions,</w:t>
      </w:r>
      <w:r w:rsidR="0013469B" w:rsidRPr="00306F9C">
        <w:rPr>
          <w:lang w:val="en-US" w:eastAsia="en-GB"/>
        </w:rPr>
        <w:t xml:space="preserve"> students with disabilities </w:t>
      </w:r>
      <w:r w:rsidR="001578C0" w:rsidRPr="00306F9C">
        <w:rPr>
          <w:lang w:val="en-US" w:eastAsia="en-GB"/>
        </w:rPr>
        <w:t>attend</w:t>
      </w:r>
      <w:r w:rsidR="003B057E" w:rsidRPr="00306F9C">
        <w:rPr>
          <w:lang w:val="en-US" w:eastAsia="en-GB"/>
        </w:rPr>
        <w:t>ing</w:t>
      </w:r>
      <w:r w:rsidR="001578C0" w:rsidRPr="00306F9C">
        <w:rPr>
          <w:lang w:val="en-US" w:eastAsia="en-GB"/>
        </w:rPr>
        <w:t xml:space="preserve"> vocational education</w:t>
      </w:r>
      <w:r w:rsidR="0013469B" w:rsidRPr="00306F9C">
        <w:rPr>
          <w:lang w:val="en-US" w:eastAsia="en-GB"/>
        </w:rPr>
        <w:t xml:space="preserve"> </w:t>
      </w:r>
      <w:r w:rsidR="001578C0" w:rsidRPr="00306F9C">
        <w:rPr>
          <w:lang w:val="en-US" w:eastAsia="en-GB"/>
        </w:rPr>
        <w:t>but within special educational unit</w:t>
      </w:r>
      <w:r w:rsidR="0083039E" w:rsidRPr="00306F9C">
        <w:rPr>
          <w:lang w:val="en-US" w:eastAsia="en-GB"/>
        </w:rPr>
        <w:t>s</w:t>
      </w:r>
      <w:r w:rsidR="003B057E" w:rsidRPr="00306F9C">
        <w:rPr>
          <w:lang w:val="en-US" w:eastAsia="en-GB"/>
        </w:rPr>
        <w:t xml:space="preserve"> will be excluded from such schemes</w:t>
      </w:r>
      <w:r w:rsidR="00632E2E" w:rsidRPr="00306F9C">
        <w:rPr>
          <w:lang w:val="en-US" w:eastAsia="en-GB"/>
        </w:rPr>
        <w:t xml:space="preserve"> even though they</w:t>
      </w:r>
      <w:r w:rsidR="00BD287D" w:rsidRPr="00306F9C">
        <w:rPr>
          <w:lang w:val="en-US" w:eastAsia="en-GB"/>
        </w:rPr>
        <w:t xml:space="preserve"> are equally included in the respective Law (4186/2013 art. </w:t>
      </w:r>
      <w:r w:rsidR="00EB52F6" w:rsidRPr="00306F9C">
        <w:rPr>
          <w:lang w:val="en-US" w:eastAsia="en-GB"/>
        </w:rPr>
        <w:t>28)</w:t>
      </w:r>
      <w:r w:rsidR="004D7981" w:rsidRPr="00306F9C">
        <w:rPr>
          <w:lang w:val="en-US" w:eastAsia="en-GB"/>
        </w:rPr>
        <w:t>.</w:t>
      </w:r>
    </w:p>
    <w:p w:rsidR="00543B5B" w:rsidRPr="00306F9C" w:rsidRDefault="00543B5B" w:rsidP="00123DE3">
      <w:pPr>
        <w:rPr>
          <w:lang w:val="en-US" w:eastAsia="en-GB"/>
        </w:rPr>
      </w:pPr>
    </w:p>
    <w:p w:rsidR="004C4895" w:rsidRPr="00306F9C" w:rsidRDefault="00543B5B" w:rsidP="00123DE3">
      <w:pPr>
        <w:rPr>
          <w:lang w:eastAsia="en-GB"/>
        </w:rPr>
      </w:pPr>
      <w:r w:rsidRPr="00306F9C">
        <w:rPr>
          <w:lang w:val="en-US" w:eastAsia="en-GB"/>
        </w:rPr>
        <w:t>There is finally a review of the social welfare benefit system due which is expected to lead to a social protection system which will target “scarce resources at those in most need” (</w:t>
      </w:r>
      <w:proofErr w:type="spellStart"/>
      <w:r w:rsidRPr="00306F9C">
        <w:rPr>
          <w:lang w:val="en-US" w:eastAsia="en-GB"/>
        </w:rPr>
        <w:t>MoU</w:t>
      </w:r>
      <w:proofErr w:type="spellEnd"/>
      <w:r w:rsidRPr="00306F9C">
        <w:rPr>
          <w:lang w:val="en-US" w:eastAsia="en-GB"/>
        </w:rPr>
        <w:t xml:space="preserve"> p. 17</w:t>
      </w:r>
      <w:r w:rsidR="0058657E" w:rsidRPr="00306F9C">
        <w:rPr>
          <w:lang w:val="en-US" w:eastAsia="en-GB"/>
        </w:rPr>
        <w:t>)</w:t>
      </w:r>
      <w:r w:rsidRPr="00306F9C">
        <w:rPr>
          <w:lang w:val="en-US" w:eastAsia="en-GB"/>
        </w:rPr>
        <w:t xml:space="preserve">. From a disability perspective, as discussed in the relevant sections above, </w:t>
      </w:r>
      <w:r w:rsidR="00B65196" w:rsidRPr="00306F9C">
        <w:rPr>
          <w:lang w:val="en-US" w:eastAsia="en-GB"/>
        </w:rPr>
        <w:t>specific attention should be paid so as to protect young disabled people who are at a double risk of poverty compared to disabled people over 65, most probably due to ineligibility for a disability pension and inadequacy of disability benefits as disposable income; secondly, disabled members in households with low work intensity</w:t>
      </w:r>
      <w:r w:rsidR="007048D2" w:rsidRPr="00306F9C">
        <w:rPr>
          <w:lang w:val="en-US" w:eastAsia="en-GB"/>
        </w:rPr>
        <w:t xml:space="preserve">, who are also at a much greater risk of poverty (40%) in comparison with households with non-disabled members with low work intensity (17%) </w:t>
      </w:r>
      <w:r w:rsidR="00211259" w:rsidRPr="00306F9C">
        <w:rPr>
          <w:lang w:val="en-US" w:eastAsia="en-GB"/>
        </w:rPr>
        <w:t>and finally households with disabled children</w:t>
      </w:r>
      <w:r w:rsidR="00C96049" w:rsidRPr="00306F9C">
        <w:rPr>
          <w:lang w:val="en-US" w:eastAsia="en-GB"/>
        </w:rPr>
        <w:t xml:space="preserve"> and people living in institutions</w:t>
      </w:r>
      <w:r w:rsidR="00211259" w:rsidRPr="00306F9C">
        <w:rPr>
          <w:lang w:val="en-US" w:eastAsia="en-GB"/>
        </w:rPr>
        <w:t>, which are not included in the EU statistics</w:t>
      </w:r>
      <w:r w:rsidR="00C96049" w:rsidRPr="00306F9C">
        <w:rPr>
          <w:lang w:val="en-US" w:eastAsia="en-GB"/>
        </w:rPr>
        <w:t>, but are in greater risk of poverty.</w:t>
      </w:r>
      <w:r w:rsidR="00211259" w:rsidRPr="00306F9C">
        <w:rPr>
          <w:lang w:val="en-US" w:eastAsia="en-GB"/>
        </w:rPr>
        <w:t xml:space="preserve"> </w:t>
      </w:r>
      <w:r w:rsidR="007048D2" w:rsidRPr="00306F9C">
        <w:rPr>
          <w:lang w:val="en-US" w:eastAsia="en-GB"/>
        </w:rPr>
        <w:t xml:space="preserve"> </w:t>
      </w:r>
      <w:r w:rsidR="00B65196" w:rsidRPr="00306F9C">
        <w:rPr>
          <w:lang w:val="en-US" w:eastAsia="en-GB"/>
        </w:rPr>
        <w:t xml:space="preserve"> </w:t>
      </w:r>
    </w:p>
    <w:p w:rsidR="00F44391" w:rsidRPr="00306F9C" w:rsidRDefault="00F44391" w:rsidP="00123DE3">
      <w:pPr>
        <w:rPr>
          <w:lang w:eastAsia="en-GB"/>
        </w:rPr>
      </w:pPr>
    </w:p>
    <w:p w:rsidR="00F44391" w:rsidRPr="00306F9C" w:rsidRDefault="00F44391" w:rsidP="00123DE3">
      <w:pPr>
        <w:rPr>
          <w:lang w:eastAsia="en-GB"/>
        </w:rPr>
      </w:pPr>
    </w:p>
    <w:p w:rsidR="004515AA" w:rsidRPr="00306F9C" w:rsidRDefault="004515AA" w:rsidP="00123DE3">
      <w:pPr>
        <w:rPr>
          <w:lang w:eastAsia="en-GB"/>
        </w:rPr>
      </w:pPr>
    </w:p>
    <w:p w:rsidR="006B7206" w:rsidRPr="00306F9C" w:rsidRDefault="006B7206" w:rsidP="00123DE3">
      <w:pPr>
        <w:rPr>
          <w:rFonts w:eastAsiaTheme="majorEastAsia"/>
          <w:lang w:eastAsia="en-GB"/>
        </w:rPr>
      </w:pPr>
      <w:r w:rsidRPr="00306F9C">
        <w:rPr>
          <w:lang w:eastAsia="en-GB"/>
        </w:rPr>
        <w:br w:type="page"/>
      </w:r>
    </w:p>
    <w:p w:rsidR="006B7206" w:rsidRPr="00306F9C" w:rsidRDefault="006B7206" w:rsidP="00123DE3">
      <w:pPr>
        <w:pStyle w:val="Heading1"/>
        <w:rPr>
          <w:szCs w:val="24"/>
          <w:lang w:eastAsia="en-GB"/>
        </w:rPr>
      </w:pPr>
      <w:bookmarkStart w:id="49" w:name="_Toc429999655"/>
      <w:bookmarkStart w:id="50" w:name="_Toc453842130"/>
      <w:r w:rsidRPr="00306F9C">
        <w:rPr>
          <w:szCs w:val="24"/>
          <w:lang w:eastAsia="en-GB"/>
        </w:rPr>
        <w:lastRenderedPageBreak/>
        <w:t>Assessment of the structural funds ESIF 2014-2020 or other relevant funds</w:t>
      </w:r>
      <w:r w:rsidR="001335A3" w:rsidRPr="00306F9C">
        <w:rPr>
          <w:szCs w:val="24"/>
        </w:rPr>
        <w:t xml:space="preserve"> </w:t>
      </w:r>
      <w:r w:rsidR="001335A3" w:rsidRPr="00306F9C">
        <w:rPr>
          <w:szCs w:val="24"/>
          <w:lang w:eastAsia="en-GB"/>
        </w:rPr>
        <w:t>in relation to disability challenges</w:t>
      </w:r>
      <w:bookmarkEnd w:id="49"/>
      <w:bookmarkEnd w:id="50"/>
    </w:p>
    <w:p w:rsidR="00472DAE" w:rsidRDefault="00472DAE" w:rsidP="00123DE3">
      <w:pPr>
        <w:rPr>
          <w:lang w:eastAsia="en-GB"/>
        </w:rPr>
      </w:pPr>
    </w:p>
    <w:p w:rsidR="00CE31FD" w:rsidRPr="00306F9C" w:rsidRDefault="00CD2042" w:rsidP="00123DE3">
      <w:pPr>
        <w:rPr>
          <w:lang w:eastAsia="en-GB"/>
        </w:rPr>
      </w:pPr>
      <w:r w:rsidRPr="00306F9C">
        <w:rPr>
          <w:lang w:eastAsia="en-GB"/>
        </w:rPr>
        <w:t>The approved Partners’ Agreement for the Programming Period 2014-2020 embodies national strategies for the EU 2020 targets and it i</w:t>
      </w:r>
      <w:r w:rsidR="003461F3" w:rsidRPr="00306F9C">
        <w:rPr>
          <w:lang w:eastAsia="en-GB"/>
        </w:rPr>
        <w:t>s very welcome that it targets</w:t>
      </w:r>
      <w:r w:rsidRPr="00306F9C">
        <w:rPr>
          <w:lang w:eastAsia="en-GB"/>
        </w:rPr>
        <w:t xml:space="preserve"> disability explicitly </w:t>
      </w:r>
      <w:r w:rsidR="009B40C1" w:rsidRPr="00306F9C">
        <w:rPr>
          <w:lang w:eastAsia="en-GB"/>
        </w:rPr>
        <w:t>addressing</w:t>
      </w:r>
      <w:r w:rsidR="008D6FB8" w:rsidRPr="00306F9C">
        <w:rPr>
          <w:lang w:eastAsia="en-GB"/>
        </w:rPr>
        <w:t xml:space="preserve"> most of the main challenges identified </w:t>
      </w:r>
      <w:r w:rsidRPr="00306F9C">
        <w:rPr>
          <w:lang w:eastAsia="en-GB"/>
        </w:rPr>
        <w:t xml:space="preserve">across the EU2020 thematic goals. Presumably this owes a lot to the introduction of </w:t>
      </w:r>
      <w:proofErr w:type="spellStart"/>
      <w:r w:rsidRPr="00306F9C">
        <w:rPr>
          <w:lang w:eastAsia="en-GB"/>
        </w:rPr>
        <w:t>conditionalities</w:t>
      </w:r>
      <w:proofErr w:type="spellEnd"/>
      <w:r w:rsidRPr="00306F9C">
        <w:rPr>
          <w:lang w:eastAsia="en-GB"/>
        </w:rPr>
        <w:t xml:space="preserve"> for non-discrimination on the grounds of disability and ensuring accessibility, in the ne</w:t>
      </w:r>
      <w:r w:rsidR="00954831" w:rsidRPr="00306F9C">
        <w:rPr>
          <w:lang w:eastAsia="en-GB"/>
        </w:rPr>
        <w:t xml:space="preserve">w EU Regulations (1303/2013). </w:t>
      </w:r>
    </w:p>
    <w:p w:rsidR="00CE31FD" w:rsidRPr="00306F9C" w:rsidRDefault="00CE31FD" w:rsidP="00123DE3">
      <w:pPr>
        <w:rPr>
          <w:lang w:eastAsia="en-GB"/>
        </w:rPr>
      </w:pPr>
    </w:p>
    <w:p w:rsidR="003461F3" w:rsidRPr="00306F9C" w:rsidRDefault="00CE31FD" w:rsidP="00123DE3">
      <w:r w:rsidRPr="00306F9C">
        <w:rPr>
          <w:lang w:eastAsia="en-GB"/>
        </w:rPr>
        <w:t xml:space="preserve">Additionally, </w:t>
      </w:r>
      <w:r w:rsidR="00954831" w:rsidRPr="00306F9C">
        <w:rPr>
          <w:lang w:eastAsia="en-GB"/>
        </w:rPr>
        <w:t>actions under ESIF 2014-2020</w:t>
      </w:r>
      <w:r w:rsidR="00A17132" w:rsidRPr="00306F9C">
        <w:rPr>
          <w:lang w:eastAsia="en-GB"/>
        </w:rPr>
        <w:t xml:space="preserve"> which are</w:t>
      </w:r>
      <w:r w:rsidR="00954831" w:rsidRPr="00306F9C">
        <w:rPr>
          <w:lang w:eastAsia="en-GB"/>
        </w:rPr>
        <w:t xml:space="preserve"> soon due to </w:t>
      </w:r>
      <w:r w:rsidR="00A17132" w:rsidRPr="00306F9C">
        <w:rPr>
          <w:lang w:eastAsia="en-GB"/>
        </w:rPr>
        <w:t>start</w:t>
      </w:r>
      <w:r w:rsidR="00954831" w:rsidRPr="00306F9C">
        <w:rPr>
          <w:lang w:eastAsia="en-GB"/>
        </w:rPr>
        <w:t xml:space="preserve"> are also closely aligned with </w:t>
      </w:r>
      <w:r w:rsidR="00A17132" w:rsidRPr="00306F9C">
        <w:rPr>
          <w:lang w:eastAsia="en-GB"/>
        </w:rPr>
        <w:t xml:space="preserve">disability specific strategies and measures in </w:t>
      </w:r>
      <w:r w:rsidR="00954831" w:rsidRPr="00306F9C">
        <w:t>the NRP (2015) and the NSFSI (2014</w:t>
      </w:r>
      <w:r w:rsidR="00A17132" w:rsidRPr="00306F9C">
        <w:t>)</w:t>
      </w:r>
      <w:r w:rsidRPr="00306F9C">
        <w:t>.</w:t>
      </w:r>
      <w:r w:rsidR="00954831" w:rsidRPr="00306F9C">
        <w:t xml:space="preserve"> </w:t>
      </w:r>
      <w:r w:rsidRPr="00306F9C">
        <w:t>Finally,</w:t>
      </w:r>
      <w:r w:rsidR="00954831" w:rsidRPr="00306F9C">
        <w:t xml:space="preserve"> the</w:t>
      </w:r>
      <w:r w:rsidRPr="00306F9C">
        <w:t xml:space="preserve"> recent</w:t>
      </w:r>
      <w:r w:rsidR="00954831" w:rsidRPr="00306F9C">
        <w:t xml:space="preserve"> EC Communication (2015) “A New Start for Jobs and Growth  in Greece” further helps to </w:t>
      </w:r>
      <w:r w:rsidR="00072A46" w:rsidRPr="00306F9C">
        <w:t xml:space="preserve">gain a better understanding of the potential of </w:t>
      </w:r>
      <w:r w:rsidR="00EF5D41" w:rsidRPr="00306F9C">
        <w:t xml:space="preserve">EU fund </w:t>
      </w:r>
      <w:r w:rsidR="00072A46" w:rsidRPr="00306F9C">
        <w:t xml:space="preserve">investments in </w:t>
      </w:r>
      <w:r w:rsidR="00A17132" w:rsidRPr="00306F9C">
        <w:t xml:space="preserve">improving the situation of people with disabilities in </w:t>
      </w:r>
      <w:r w:rsidR="00072A46" w:rsidRPr="00306F9C">
        <w:t>the areas of employment, education and combating poverty.</w:t>
      </w:r>
    </w:p>
    <w:p w:rsidR="00CD2042" w:rsidRPr="00306F9C" w:rsidRDefault="00CD2042" w:rsidP="00123DE3">
      <w:pPr>
        <w:rPr>
          <w:lang w:eastAsia="en-GB"/>
        </w:rPr>
      </w:pPr>
    </w:p>
    <w:p w:rsidR="00CD2042" w:rsidRPr="00306F9C" w:rsidRDefault="00CD2042" w:rsidP="00123DE3">
      <w:pPr>
        <w:rPr>
          <w:color w:val="FF0000"/>
          <w:lang w:eastAsia="en-GB"/>
        </w:rPr>
      </w:pPr>
      <w:r w:rsidRPr="00306F9C">
        <w:rPr>
          <w:lang w:eastAsia="en-GB"/>
        </w:rPr>
        <w:t>According to the new strategy</w:t>
      </w:r>
      <w:r w:rsidR="00EA593A" w:rsidRPr="00306F9C">
        <w:rPr>
          <w:lang w:eastAsia="en-GB"/>
        </w:rPr>
        <w:t xml:space="preserve"> for the programming period 2014-2020</w:t>
      </w:r>
      <w:r w:rsidRPr="00306F9C">
        <w:rPr>
          <w:lang w:eastAsia="en-GB"/>
        </w:rPr>
        <w:t>, Employment and Education actions will run under a single operational program of 2.1 billion euros (ESF and Youth Employment initiative – YEI),</w:t>
      </w:r>
      <w:r w:rsidRPr="00306F9C">
        <w:rPr>
          <w:rStyle w:val="FootnoteReference"/>
          <w:lang w:eastAsia="en-GB"/>
        </w:rPr>
        <w:footnoteReference w:id="47"/>
      </w:r>
      <w:r w:rsidRPr="00306F9C">
        <w:rPr>
          <w:lang w:eastAsia="en-GB"/>
        </w:rPr>
        <w:t xml:space="preserve"> while around 20% of ESF funds will become available for the thematic goal of combating poverty through social inclusion.</w:t>
      </w:r>
      <w:r w:rsidRPr="00306F9C">
        <w:rPr>
          <w:rStyle w:val="FootnoteReference"/>
          <w:lang w:eastAsia="en-GB"/>
        </w:rPr>
        <w:footnoteReference w:id="48"/>
      </w:r>
      <w:r w:rsidRPr="00306F9C">
        <w:rPr>
          <w:lang w:eastAsia="en-GB"/>
        </w:rPr>
        <w:t xml:space="preserve"> More targeted actions for disability are rather included under the latter thematic goal, however disability issues are also mainstreamed across employment and education actions. Indicatively, the main actions which address disability are as follows:</w:t>
      </w:r>
      <w:r w:rsidRPr="00306F9C">
        <w:rPr>
          <w:color w:val="FF0000"/>
          <w:lang w:eastAsia="en-GB"/>
        </w:rPr>
        <w:t xml:space="preserve"> </w:t>
      </w:r>
    </w:p>
    <w:p w:rsidR="00CD2042" w:rsidRPr="00306F9C" w:rsidRDefault="00CD2042" w:rsidP="00123DE3">
      <w:pPr>
        <w:rPr>
          <w:color w:val="FF0000"/>
          <w:lang w:eastAsia="en-GB"/>
        </w:rPr>
      </w:pPr>
    </w:p>
    <w:p w:rsidR="007F267F" w:rsidRPr="00306F9C" w:rsidRDefault="00CD2042" w:rsidP="00123DE3">
      <w:pPr>
        <w:rPr>
          <w:lang w:eastAsia="en-GB"/>
        </w:rPr>
      </w:pPr>
      <w:r w:rsidRPr="00306F9C">
        <w:rPr>
          <w:b/>
          <w:lang w:eastAsia="en-GB"/>
        </w:rPr>
        <w:t>Access to employment</w:t>
      </w:r>
      <w:r w:rsidR="00705DCB" w:rsidRPr="00306F9C">
        <w:rPr>
          <w:lang w:eastAsia="en-GB"/>
        </w:rPr>
        <w:t xml:space="preserve">: “Mainstream” ALPs form the crux of this strand of actions, as emphasis is particularly given to those who are long-term unemployed, low-work intensity households and younger people with low skills (p.18), whereas employment programs addressing people with disabilities in particular are rather included under the thematic goal of promoting social inclusion. There is however </w:t>
      </w:r>
      <w:r w:rsidRPr="00306F9C">
        <w:rPr>
          <w:lang w:eastAsia="en-GB"/>
        </w:rPr>
        <w:t xml:space="preserve">explicit reference to young people with disability in outlining plans for those not in employment, </w:t>
      </w:r>
      <w:r w:rsidR="007F267F" w:rsidRPr="00306F9C">
        <w:rPr>
          <w:lang w:eastAsia="en-GB"/>
        </w:rPr>
        <w:t>education or training (p. 100). “</w:t>
      </w:r>
      <w:r w:rsidR="007F267F" w:rsidRPr="00306F9C">
        <w:t>More than 100 000 young people are expected to benefit from schemes supported by the YEI providing apprenticeships, traineeships and vocational training and promoting entrepreneurship” according to the EC Com (2015, p. 7).</w:t>
      </w:r>
      <w:r w:rsidR="00184A66" w:rsidRPr="00306F9C">
        <w:t xml:space="preserve"> </w:t>
      </w:r>
      <w:r w:rsidR="00EA593A" w:rsidRPr="00306F9C">
        <w:t>Given existing evidence of exceptionally low employment rates for younger people with disabilities and increased</w:t>
      </w:r>
      <w:r w:rsidR="005F607D" w:rsidRPr="00306F9C">
        <w:t xml:space="preserve"> (double)</w:t>
      </w:r>
      <w:r w:rsidR="00EA593A" w:rsidRPr="00306F9C">
        <w:t xml:space="preserve"> risk of poverty in comparison with older age disability groups, i</w:t>
      </w:r>
      <w:r w:rsidR="00184A66" w:rsidRPr="00306F9C">
        <w:t xml:space="preserve">t is imperative to ensure increased participation rates </w:t>
      </w:r>
      <w:r w:rsidR="00EA593A" w:rsidRPr="00306F9C">
        <w:t>of this group</w:t>
      </w:r>
      <w:r w:rsidR="00767A48" w:rsidRPr="00306F9C">
        <w:t>,</w:t>
      </w:r>
      <w:r w:rsidR="00184A66" w:rsidRPr="00306F9C">
        <w:t xml:space="preserve"> by targeting/prioritising disability, as well as </w:t>
      </w:r>
      <w:r w:rsidR="005F607D" w:rsidRPr="00306F9C">
        <w:t xml:space="preserve">to monitor and </w:t>
      </w:r>
      <w:r w:rsidR="00184A66" w:rsidRPr="00306F9C">
        <w:t xml:space="preserve">measure </w:t>
      </w:r>
      <w:r w:rsidR="005F607D" w:rsidRPr="00306F9C">
        <w:t xml:space="preserve">the </w:t>
      </w:r>
      <w:r w:rsidR="00184A66" w:rsidRPr="00306F9C">
        <w:t>impact</w:t>
      </w:r>
      <w:r w:rsidR="005F607D" w:rsidRPr="00306F9C">
        <w:t xml:space="preserve"> of such measures</w:t>
      </w:r>
      <w:r w:rsidR="00184A66" w:rsidRPr="00306F9C">
        <w:t xml:space="preserve"> on</w:t>
      </w:r>
      <w:r w:rsidR="00100FAD" w:rsidRPr="00306F9C">
        <w:t xml:space="preserve"> the</w:t>
      </w:r>
      <w:r w:rsidR="00184A66" w:rsidRPr="00306F9C">
        <w:t xml:space="preserve"> employment rates for that group. </w:t>
      </w:r>
    </w:p>
    <w:p w:rsidR="007F267F" w:rsidRPr="00306F9C" w:rsidRDefault="007F267F" w:rsidP="00123DE3">
      <w:pPr>
        <w:rPr>
          <w:lang w:eastAsia="en-GB"/>
        </w:rPr>
      </w:pPr>
    </w:p>
    <w:p w:rsidR="00CD2042" w:rsidRPr="00306F9C" w:rsidRDefault="00CD2042" w:rsidP="00123DE3">
      <w:pPr>
        <w:rPr>
          <w:lang w:eastAsia="en-GB"/>
        </w:rPr>
      </w:pPr>
      <w:r w:rsidRPr="00306F9C">
        <w:rPr>
          <w:b/>
          <w:lang w:eastAsia="en-GB"/>
        </w:rPr>
        <w:lastRenderedPageBreak/>
        <w:t xml:space="preserve">Investing in Education and training: </w:t>
      </w:r>
      <w:r w:rsidRPr="00306F9C">
        <w:rPr>
          <w:lang w:eastAsia="en-GB"/>
        </w:rPr>
        <w:t>Goals include broadening access to pre-school education/ eliminating discrimination (p. 107) and reducing early school leaving especially for individuals from “vulnerable social groups”. There is further reference to supporting implementation of apprenticeships in secondary vocational education (p.109) and improving the quality of tertiary education and equal access for disabled individuals.</w:t>
      </w:r>
      <w:r w:rsidRPr="00306F9C">
        <w:rPr>
          <w:rStyle w:val="FootnoteReference"/>
          <w:lang w:eastAsia="en-GB"/>
        </w:rPr>
        <w:footnoteReference w:id="49"/>
      </w:r>
      <w:r w:rsidR="00E56886" w:rsidRPr="00306F9C">
        <w:rPr>
          <w:lang w:eastAsia="en-GB"/>
        </w:rPr>
        <w:t xml:space="preserve"> </w:t>
      </w:r>
      <w:r w:rsidR="0007541E" w:rsidRPr="00306F9C">
        <w:rPr>
          <w:lang w:eastAsia="en-GB"/>
        </w:rPr>
        <w:t>More specific</w:t>
      </w:r>
      <w:r w:rsidR="007E1B9C" w:rsidRPr="00306F9C">
        <w:rPr>
          <w:lang w:eastAsia="en-GB"/>
        </w:rPr>
        <w:t>ally</w:t>
      </w:r>
      <w:r w:rsidR="0007541E" w:rsidRPr="00306F9C">
        <w:rPr>
          <w:lang w:eastAsia="en-GB"/>
        </w:rPr>
        <w:t>, d</w:t>
      </w:r>
      <w:r w:rsidR="00E56886" w:rsidRPr="00306F9C">
        <w:rPr>
          <w:lang w:eastAsia="en-GB"/>
        </w:rPr>
        <w:t>isability targeted actions are included in the NSFSI (2015-2020) as discussed</w:t>
      </w:r>
      <w:r w:rsidR="008228DC" w:rsidRPr="00306F9C">
        <w:rPr>
          <w:lang w:eastAsia="en-GB"/>
        </w:rPr>
        <w:t xml:space="preserve"> in the section </w:t>
      </w:r>
      <w:r w:rsidR="00751ACC" w:rsidRPr="00306F9C">
        <w:rPr>
          <w:lang w:eastAsia="en-GB"/>
        </w:rPr>
        <w:t>4.2</w:t>
      </w:r>
      <w:r w:rsidR="0007541E" w:rsidRPr="00306F9C">
        <w:rPr>
          <w:lang w:eastAsia="en-GB"/>
        </w:rPr>
        <w:t xml:space="preserve">. It is also important to note that around 280million Euros will be available from EU funds which can be used for “the construction and renovation of schools, universities and early childhood and care services” (EC COM (2015) 400 p. 7), providing opportunities </w:t>
      </w:r>
      <w:r w:rsidR="00780715" w:rsidRPr="00306F9C">
        <w:rPr>
          <w:lang w:eastAsia="en-GB"/>
        </w:rPr>
        <w:t>for restoring/improving</w:t>
      </w:r>
      <w:r w:rsidR="0007541E" w:rsidRPr="00306F9C">
        <w:rPr>
          <w:lang w:eastAsia="en-GB"/>
        </w:rPr>
        <w:t xml:space="preserve"> accessibility of infrastructure at all levels of education</w:t>
      </w:r>
      <w:r w:rsidR="0028350A" w:rsidRPr="00306F9C">
        <w:rPr>
          <w:lang w:eastAsia="en-GB"/>
        </w:rPr>
        <w:t>.</w:t>
      </w:r>
      <w:r w:rsidR="0007541E" w:rsidRPr="00306F9C">
        <w:rPr>
          <w:lang w:eastAsia="en-GB"/>
        </w:rPr>
        <w:t xml:space="preserve"> </w:t>
      </w:r>
    </w:p>
    <w:p w:rsidR="00CD2042" w:rsidRPr="00306F9C" w:rsidRDefault="00CD2042" w:rsidP="00123DE3">
      <w:pPr>
        <w:rPr>
          <w:b/>
          <w:lang w:eastAsia="en-GB"/>
        </w:rPr>
      </w:pPr>
    </w:p>
    <w:p w:rsidR="0007541E" w:rsidRPr="00306F9C" w:rsidRDefault="00CD2042" w:rsidP="00123DE3">
      <w:pPr>
        <w:rPr>
          <w:lang w:eastAsia="en-GB"/>
        </w:rPr>
      </w:pPr>
      <w:r w:rsidRPr="00306F9C">
        <w:rPr>
          <w:b/>
          <w:lang w:eastAsia="en-GB"/>
        </w:rPr>
        <w:t>Promoting Social Inclusion and Combating Poverty and Discrimination:</w:t>
      </w:r>
      <w:r w:rsidRPr="00306F9C">
        <w:rPr>
          <w:lang w:eastAsia="en-GB"/>
        </w:rPr>
        <w:t xml:space="preserve"> This thematic goal incudes active labour policies for specific social groups as well as “quality support services” for enabling access to employment, especially social care and employment support services (p. 103). </w:t>
      </w:r>
      <w:r w:rsidR="0007541E" w:rsidRPr="00306F9C">
        <w:rPr>
          <w:lang w:eastAsia="en-GB"/>
        </w:rPr>
        <w:t xml:space="preserve">According to the EC COM (2015, p.6) </w:t>
      </w:r>
      <w:r w:rsidR="0007541E" w:rsidRPr="00306F9C">
        <w:t>it is estimated that 10000 disabled people will benefit from ESF funds in 2014-2020.</w:t>
      </w:r>
    </w:p>
    <w:p w:rsidR="0007541E" w:rsidRPr="00306F9C" w:rsidRDefault="0007541E" w:rsidP="00123DE3">
      <w:pPr>
        <w:rPr>
          <w:lang w:eastAsia="en-GB"/>
        </w:rPr>
      </w:pPr>
    </w:p>
    <w:p w:rsidR="00F85366" w:rsidRPr="00306F9C" w:rsidRDefault="00297303" w:rsidP="00123DE3">
      <w:pPr>
        <w:rPr>
          <w:lang w:val="en-US" w:eastAsia="en-GB"/>
        </w:rPr>
      </w:pPr>
      <w:r w:rsidRPr="00306F9C">
        <w:rPr>
          <w:lang w:eastAsia="en-GB"/>
        </w:rPr>
        <w:t>Furthermore, f</w:t>
      </w:r>
      <w:r w:rsidR="00CD2042" w:rsidRPr="00306F9C">
        <w:rPr>
          <w:lang w:eastAsia="en-GB"/>
        </w:rPr>
        <w:t xml:space="preserve">unding social entrepreneurship forms a distinct strand of actions, with specific reference being made to the programming of actions for social care service provision as well as creating a network for supporting start-ups. </w:t>
      </w:r>
      <w:r w:rsidR="00F85366" w:rsidRPr="00306F9C">
        <w:rPr>
          <w:lang w:eastAsia="en-GB"/>
        </w:rPr>
        <w:t xml:space="preserve">The </w:t>
      </w:r>
      <w:r w:rsidR="00F85366" w:rsidRPr="00306F9C">
        <w:rPr>
          <w:lang w:val="en-US" w:eastAsia="en-GB"/>
        </w:rPr>
        <w:t>NSFSI</w:t>
      </w:r>
      <w:r w:rsidR="00F85366" w:rsidRPr="00306F9C">
        <w:rPr>
          <w:lang w:eastAsia="en-GB"/>
        </w:rPr>
        <w:t xml:space="preserve"> (2014, </w:t>
      </w:r>
      <w:r w:rsidR="00F85366" w:rsidRPr="00306F9C">
        <w:rPr>
          <w:lang w:val="en-US" w:eastAsia="en-GB"/>
        </w:rPr>
        <w:t>p</w:t>
      </w:r>
      <w:r w:rsidR="00F85366" w:rsidRPr="00306F9C">
        <w:rPr>
          <w:lang w:eastAsia="en-GB"/>
        </w:rPr>
        <w:t xml:space="preserve">.73 </w:t>
      </w:r>
      <w:r w:rsidR="00F85366" w:rsidRPr="00306F9C">
        <w:rPr>
          <w:lang w:val="en-US" w:eastAsia="en-GB"/>
        </w:rPr>
        <w:t>footnote</w:t>
      </w:r>
      <w:r w:rsidR="00F85366" w:rsidRPr="00306F9C">
        <w:rPr>
          <w:lang w:eastAsia="en-GB"/>
        </w:rPr>
        <w:t xml:space="preserve"> 104) </w:t>
      </w:r>
      <w:r w:rsidR="00F85366" w:rsidRPr="00306F9C">
        <w:rPr>
          <w:lang w:val="en-US" w:eastAsia="en-GB"/>
        </w:rPr>
        <w:t>notes</w:t>
      </w:r>
      <w:r w:rsidR="00F85366" w:rsidRPr="00306F9C">
        <w:rPr>
          <w:lang w:eastAsia="en-GB"/>
        </w:rPr>
        <w:t xml:space="preserve"> </w:t>
      </w:r>
      <w:r w:rsidR="00F85366" w:rsidRPr="00306F9C">
        <w:rPr>
          <w:lang w:val="en-US" w:eastAsia="en-GB"/>
        </w:rPr>
        <w:t>that</w:t>
      </w:r>
      <w:r w:rsidR="00F85366" w:rsidRPr="00306F9C">
        <w:rPr>
          <w:lang w:eastAsia="en-GB"/>
        </w:rPr>
        <w:t xml:space="preserve"> </w:t>
      </w:r>
      <w:r w:rsidR="00F85366" w:rsidRPr="00306F9C">
        <w:rPr>
          <w:lang w:val="en-US" w:eastAsia="en-GB"/>
        </w:rPr>
        <w:t>approximately</w:t>
      </w:r>
      <w:r w:rsidR="00F85366" w:rsidRPr="00306F9C">
        <w:rPr>
          <w:lang w:eastAsia="en-GB"/>
        </w:rPr>
        <w:t xml:space="preserve"> 12000 </w:t>
      </w:r>
      <w:r w:rsidR="00F85366" w:rsidRPr="00306F9C">
        <w:rPr>
          <w:lang w:val="en-US" w:eastAsia="en-GB"/>
        </w:rPr>
        <w:t>people</w:t>
      </w:r>
      <w:r w:rsidR="00F85366" w:rsidRPr="00306F9C">
        <w:rPr>
          <w:lang w:eastAsia="en-GB"/>
        </w:rPr>
        <w:t xml:space="preserve"> </w:t>
      </w:r>
      <w:r w:rsidR="00F85366" w:rsidRPr="00306F9C">
        <w:rPr>
          <w:lang w:val="en-US" w:eastAsia="en-GB"/>
        </w:rPr>
        <w:t>belonging</w:t>
      </w:r>
      <w:r w:rsidR="00F85366" w:rsidRPr="00306F9C">
        <w:rPr>
          <w:lang w:eastAsia="en-GB"/>
        </w:rPr>
        <w:t xml:space="preserve"> </w:t>
      </w:r>
      <w:r w:rsidR="00F85366" w:rsidRPr="00306F9C">
        <w:rPr>
          <w:lang w:val="en-US" w:eastAsia="en-GB"/>
        </w:rPr>
        <w:t>to</w:t>
      </w:r>
      <w:r w:rsidR="00F85366" w:rsidRPr="00306F9C">
        <w:rPr>
          <w:lang w:eastAsia="en-GB"/>
        </w:rPr>
        <w:t xml:space="preserve"> “</w:t>
      </w:r>
      <w:r w:rsidR="00F85366" w:rsidRPr="00306F9C">
        <w:rPr>
          <w:lang w:val="en-US" w:eastAsia="en-GB"/>
        </w:rPr>
        <w:t>vulnerable</w:t>
      </w:r>
      <w:r w:rsidR="00F85366" w:rsidRPr="00306F9C">
        <w:rPr>
          <w:lang w:eastAsia="en-GB"/>
        </w:rPr>
        <w:t xml:space="preserve">” </w:t>
      </w:r>
      <w:r w:rsidR="00F85366" w:rsidRPr="00306F9C">
        <w:rPr>
          <w:lang w:val="en-US" w:eastAsia="en-GB"/>
        </w:rPr>
        <w:t>social</w:t>
      </w:r>
      <w:r w:rsidR="00F85366" w:rsidRPr="00306F9C">
        <w:rPr>
          <w:lang w:eastAsia="en-GB"/>
        </w:rPr>
        <w:t xml:space="preserve"> </w:t>
      </w:r>
      <w:r w:rsidR="00F85366" w:rsidRPr="00306F9C">
        <w:rPr>
          <w:lang w:val="en-US" w:eastAsia="en-GB"/>
        </w:rPr>
        <w:t>groups</w:t>
      </w:r>
      <w:r w:rsidR="00F85366" w:rsidRPr="00306F9C">
        <w:rPr>
          <w:lang w:eastAsia="en-GB"/>
        </w:rPr>
        <w:t xml:space="preserve"> </w:t>
      </w:r>
      <w:r w:rsidR="00F85366" w:rsidRPr="00306F9C">
        <w:rPr>
          <w:lang w:val="en-US" w:eastAsia="en-GB"/>
        </w:rPr>
        <w:t>will</w:t>
      </w:r>
      <w:r w:rsidR="00F85366" w:rsidRPr="00306F9C">
        <w:rPr>
          <w:lang w:eastAsia="en-GB"/>
        </w:rPr>
        <w:t xml:space="preserve"> </w:t>
      </w:r>
      <w:r w:rsidR="00F85366" w:rsidRPr="00306F9C">
        <w:rPr>
          <w:lang w:val="en-US" w:eastAsia="en-GB"/>
        </w:rPr>
        <w:t>benefit</w:t>
      </w:r>
      <w:r w:rsidR="00F85366" w:rsidRPr="00306F9C">
        <w:rPr>
          <w:lang w:eastAsia="en-GB"/>
        </w:rPr>
        <w:t xml:space="preserve"> </w:t>
      </w:r>
      <w:r w:rsidR="00F85366" w:rsidRPr="00306F9C">
        <w:rPr>
          <w:lang w:val="en-US" w:eastAsia="en-GB"/>
        </w:rPr>
        <w:t>from</w:t>
      </w:r>
      <w:r w:rsidR="00F85366" w:rsidRPr="00306F9C">
        <w:rPr>
          <w:lang w:eastAsia="en-GB"/>
        </w:rPr>
        <w:t xml:space="preserve"> </w:t>
      </w:r>
      <w:r w:rsidR="00F85366" w:rsidRPr="00306F9C">
        <w:rPr>
          <w:lang w:val="en-US" w:eastAsia="en-GB"/>
        </w:rPr>
        <w:t>these</w:t>
      </w:r>
      <w:r w:rsidR="00F85366" w:rsidRPr="00306F9C">
        <w:rPr>
          <w:lang w:eastAsia="en-GB"/>
        </w:rPr>
        <w:t xml:space="preserve"> </w:t>
      </w:r>
      <w:r w:rsidR="00F85366" w:rsidRPr="00306F9C">
        <w:rPr>
          <w:lang w:val="en-US" w:eastAsia="en-GB"/>
        </w:rPr>
        <w:t>schemes</w:t>
      </w:r>
      <w:r w:rsidR="00F85366" w:rsidRPr="00306F9C">
        <w:rPr>
          <w:lang w:eastAsia="en-GB"/>
        </w:rPr>
        <w:t xml:space="preserve">, </w:t>
      </w:r>
      <w:r w:rsidR="00F85366" w:rsidRPr="00306F9C">
        <w:rPr>
          <w:lang w:val="en-US" w:eastAsia="en-GB"/>
        </w:rPr>
        <w:t>while</w:t>
      </w:r>
      <w:r w:rsidR="00F85366" w:rsidRPr="00306F9C">
        <w:rPr>
          <w:lang w:eastAsia="en-GB"/>
        </w:rPr>
        <w:t xml:space="preserve"> </w:t>
      </w:r>
      <w:r w:rsidR="00F85366" w:rsidRPr="00306F9C">
        <w:rPr>
          <w:lang w:val="en-US" w:eastAsia="en-GB"/>
        </w:rPr>
        <w:t>it</w:t>
      </w:r>
      <w:r w:rsidR="00F85366" w:rsidRPr="00306F9C">
        <w:rPr>
          <w:lang w:eastAsia="en-GB"/>
        </w:rPr>
        <w:t xml:space="preserve"> </w:t>
      </w:r>
      <w:r w:rsidR="00F85366" w:rsidRPr="00306F9C">
        <w:rPr>
          <w:lang w:val="en-US" w:eastAsia="en-GB"/>
        </w:rPr>
        <w:t>is</w:t>
      </w:r>
      <w:r w:rsidR="00F85366" w:rsidRPr="00306F9C">
        <w:rPr>
          <w:lang w:eastAsia="en-GB"/>
        </w:rPr>
        <w:t xml:space="preserve"> </w:t>
      </w:r>
      <w:r w:rsidR="00F85366" w:rsidRPr="00306F9C">
        <w:rPr>
          <w:lang w:val="en-US" w:eastAsia="en-GB"/>
        </w:rPr>
        <w:t>predicted</w:t>
      </w:r>
      <w:r w:rsidR="00F85366" w:rsidRPr="00306F9C">
        <w:rPr>
          <w:lang w:eastAsia="en-GB"/>
        </w:rPr>
        <w:t xml:space="preserve"> </w:t>
      </w:r>
      <w:r w:rsidR="00F85366" w:rsidRPr="00306F9C">
        <w:rPr>
          <w:lang w:val="en-US" w:eastAsia="en-GB"/>
        </w:rPr>
        <w:t xml:space="preserve">that 2000 social enterprises will be established. </w:t>
      </w:r>
      <w:r w:rsidR="00F85366" w:rsidRPr="00306F9C">
        <w:rPr>
          <w:lang w:eastAsia="en-GB"/>
        </w:rPr>
        <w:t xml:space="preserve">  </w:t>
      </w:r>
    </w:p>
    <w:p w:rsidR="00F85366" w:rsidRPr="00306F9C" w:rsidRDefault="00F85366" w:rsidP="00123DE3">
      <w:pPr>
        <w:rPr>
          <w:lang w:val="en-US" w:eastAsia="en-GB"/>
        </w:rPr>
      </w:pPr>
    </w:p>
    <w:p w:rsidR="00CC0BD5" w:rsidRPr="00306F9C" w:rsidRDefault="00CC0BD5" w:rsidP="00123DE3">
      <w:r w:rsidRPr="00306F9C">
        <w:rPr>
          <w:lang w:val="en-US" w:eastAsia="en-GB"/>
        </w:rPr>
        <w:t xml:space="preserve">In the new programming period funds (EUR 280 million) are also made available from the </w:t>
      </w:r>
      <w:r w:rsidRPr="00306F9C">
        <w:t>Fund for European Aid to the Most Deprived for combating poverty “in the form of providing basic necessities (such as food, shoes and hygiene products) as well as by helping with social inclusion”</w:t>
      </w:r>
      <w:r w:rsidR="00197D27" w:rsidRPr="00306F9C">
        <w:t xml:space="preserve"> (EC COM (2015) 400, p. 7)</w:t>
      </w:r>
      <w:r w:rsidR="007B7886" w:rsidRPr="00306F9C">
        <w:t>.</w:t>
      </w:r>
    </w:p>
    <w:p w:rsidR="00CC0BD5" w:rsidRPr="00306F9C" w:rsidRDefault="00CC0BD5" w:rsidP="00123DE3">
      <w:pPr>
        <w:rPr>
          <w:lang w:val="en-US" w:eastAsia="en-GB"/>
        </w:rPr>
      </w:pPr>
      <w:r w:rsidRPr="00306F9C">
        <w:rPr>
          <w:lang w:val="en-US" w:eastAsia="en-GB"/>
        </w:rPr>
        <w:t xml:space="preserve"> </w:t>
      </w:r>
    </w:p>
    <w:p w:rsidR="008D2A5F" w:rsidRPr="00306F9C" w:rsidRDefault="00CD2042" w:rsidP="00123DE3">
      <w:pPr>
        <w:rPr>
          <w:lang w:eastAsia="en-GB"/>
        </w:rPr>
      </w:pPr>
      <w:r w:rsidRPr="00306F9C">
        <w:rPr>
          <w:lang w:eastAsia="en-GB"/>
        </w:rPr>
        <w:t>Further actions are planned for combating discrimination, including on the grounds of disability (p.104) through cultural and awareness raising initiatives, and for improving access and quality of health and social care services especially for those in poverty.</w:t>
      </w:r>
    </w:p>
    <w:p w:rsidR="008D2A5F" w:rsidRPr="00306F9C" w:rsidRDefault="008D2A5F" w:rsidP="00123DE3">
      <w:pPr>
        <w:rPr>
          <w:lang w:eastAsia="en-GB"/>
        </w:rPr>
      </w:pPr>
    </w:p>
    <w:p w:rsidR="008D2A5F" w:rsidRPr="00306F9C" w:rsidRDefault="008D2A5F" w:rsidP="00123DE3">
      <w:pPr>
        <w:rPr>
          <w:lang w:eastAsia="en-GB"/>
        </w:rPr>
      </w:pPr>
    </w:p>
    <w:p w:rsidR="006B7206" w:rsidRPr="00306F9C" w:rsidRDefault="006B7206" w:rsidP="00123DE3">
      <w:pPr>
        <w:rPr>
          <w:rFonts w:eastAsiaTheme="majorEastAsia"/>
          <w:lang w:eastAsia="en-GB"/>
        </w:rPr>
      </w:pPr>
      <w:r w:rsidRPr="00306F9C">
        <w:rPr>
          <w:lang w:eastAsia="en-GB"/>
        </w:rPr>
        <w:br w:type="page"/>
      </w:r>
    </w:p>
    <w:p w:rsidR="006B7206" w:rsidRPr="00306F9C" w:rsidRDefault="006B7206" w:rsidP="00123DE3">
      <w:pPr>
        <w:pStyle w:val="Heading1"/>
        <w:rPr>
          <w:szCs w:val="24"/>
          <w:lang w:eastAsia="en-GB"/>
        </w:rPr>
      </w:pPr>
      <w:bookmarkStart w:id="51" w:name="_Toc429999656"/>
      <w:bookmarkStart w:id="52" w:name="_Toc453842131"/>
      <w:r w:rsidRPr="00306F9C">
        <w:rPr>
          <w:szCs w:val="24"/>
          <w:lang w:eastAsia="en-GB"/>
        </w:rPr>
        <w:lastRenderedPageBreak/>
        <w:t>Recommendations</w:t>
      </w:r>
      <w:bookmarkEnd w:id="51"/>
      <w:bookmarkEnd w:id="52"/>
    </w:p>
    <w:p w:rsidR="00492F84" w:rsidRDefault="00492F84" w:rsidP="00123DE3">
      <w:pPr>
        <w:rPr>
          <w:lang w:eastAsia="en-GB"/>
        </w:rPr>
      </w:pPr>
    </w:p>
    <w:p w:rsidR="001E4166" w:rsidRPr="00306F9C" w:rsidRDefault="00476EF3" w:rsidP="00123DE3">
      <w:pPr>
        <w:rPr>
          <w:lang w:eastAsia="en-GB"/>
        </w:rPr>
      </w:pPr>
      <w:r w:rsidRPr="00306F9C">
        <w:rPr>
          <w:lang w:eastAsia="en-GB"/>
        </w:rPr>
        <w:t xml:space="preserve">The recommendations outlined here </w:t>
      </w:r>
      <w:r w:rsidR="0070061B" w:rsidRPr="00306F9C">
        <w:rPr>
          <w:lang w:eastAsia="en-GB"/>
        </w:rPr>
        <w:t>aim to address the</w:t>
      </w:r>
      <w:r w:rsidRPr="00306F9C">
        <w:rPr>
          <w:lang w:eastAsia="en-GB"/>
        </w:rPr>
        <w:t xml:space="preserve"> main challenges</w:t>
      </w:r>
      <w:r w:rsidR="0070061B" w:rsidRPr="00306F9C">
        <w:rPr>
          <w:lang w:eastAsia="en-GB"/>
        </w:rPr>
        <w:t xml:space="preserve"> for disabled people across the areas of employment, education and risk of poverty, as</w:t>
      </w:r>
      <w:r w:rsidRPr="00306F9C">
        <w:rPr>
          <w:lang w:eastAsia="en-GB"/>
        </w:rPr>
        <w:t xml:space="preserve"> evidenced by available statistical data (EU SILC 2013) </w:t>
      </w:r>
      <w:r w:rsidR="007A72D3" w:rsidRPr="00306F9C">
        <w:rPr>
          <w:lang w:eastAsia="en-GB"/>
        </w:rPr>
        <w:t>and in relation to policy gaps</w:t>
      </w:r>
      <w:r w:rsidR="00FE1D83" w:rsidRPr="00306F9C">
        <w:rPr>
          <w:lang w:eastAsia="en-GB"/>
        </w:rPr>
        <w:t xml:space="preserve"> </w:t>
      </w:r>
      <w:r w:rsidR="001F52C4" w:rsidRPr="00306F9C">
        <w:rPr>
          <w:lang w:eastAsia="en-GB"/>
        </w:rPr>
        <w:t xml:space="preserve">identified </w:t>
      </w:r>
      <w:r w:rsidR="00FE1D83" w:rsidRPr="00306F9C">
        <w:rPr>
          <w:lang w:eastAsia="en-GB"/>
        </w:rPr>
        <w:t xml:space="preserve">in </w:t>
      </w:r>
      <w:r w:rsidR="004D1504" w:rsidRPr="00306F9C">
        <w:rPr>
          <w:lang w:eastAsia="en-GB"/>
        </w:rPr>
        <w:t>analysing</w:t>
      </w:r>
      <w:r w:rsidRPr="00306F9C">
        <w:rPr>
          <w:lang w:eastAsia="en-GB"/>
        </w:rPr>
        <w:t xml:space="preserve"> policy priorities and measures </w:t>
      </w:r>
      <w:r w:rsidR="005651D3" w:rsidRPr="00306F9C">
        <w:rPr>
          <w:lang w:eastAsia="en-GB"/>
        </w:rPr>
        <w:t xml:space="preserve">from a disability perspective in the context of the European Semester Process, namely the </w:t>
      </w:r>
      <w:r w:rsidRPr="00306F9C">
        <w:rPr>
          <w:lang w:eastAsia="en-GB"/>
        </w:rPr>
        <w:t xml:space="preserve">NRP (2015), the NSFSI 2015-2020, the Partnership Agreement 2014-2020 and EC Staff Working Documents (2015).   </w:t>
      </w:r>
    </w:p>
    <w:p w:rsidR="009808E0" w:rsidRPr="00306F9C" w:rsidRDefault="009808E0" w:rsidP="00123DE3">
      <w:pPr>
        <w:rPr>
          <w:lang w:eastAsia="en-GB"/>
        </w:rPr>
      </w:pPr>
    </w:p>
    <w:p w:rsidR="009808E0" w:rsidRPr="00306F9C" w:rsidRDefault="009808E0" w:rsidP="00123DE3">
      <w:pPr>
        <w:rPr>
          <w:lang w:eastAsia="en-GB"/>
        </w:rPr>
      </w:pPr>
      <w:r w:rsidRPr="00306F9C">
        <w:rPr>
          <w:b/>
          <w:lang w:eastAsia="en-GB"/>
        </w:rPr>
        <w:t>Employment</w:t>
      </w:r>
      <w:r w:rsidRPr="00306F9C">
        <w:rPr>
          <w:lang w:eastAsia="en-GB"/>
        </w:rPr>
        <w:t>:</w:t>
      </w:r>
    </w:p>
    <w:p w:rsidR="009808E0" w:rsidRPr="00306F9C" w:rsidRDefault="009808E0" w:rsidP="00123DE3">
      <w:pPr>
        <w:rPr>
          <w:lang w:eastAsia="en-GB"/>
        </w:rPr>
      </w:pPr>
    </w:p>
    <w:p w:rsidR="009808E0" w:rsidRPr="00306F9C" w:rsidRDefault="009808E0" w:rsidP="00EB1E95">
      <w:pPr>
        <w:pStyle w:val="ListParagraph"/>
        <w:numPr>
          <w:ilvl w:val="0"/>
          <w:numId w:val="29"/>
        </w:numPr>
        <w:ind w:left="567" w:hanging="567"/>
        <w:rPr>
          <w:lang w:eastAsia="en-GB"/>
        </w:rPr>
      </w:pPr>
      <w:r w:rsidRPr="00306F9C">
        <w:rPr>
          <w:lang w:eastAsia="en-GB"/>
        </w:rPr>
        <w:t xml:space="preserve">Ensure that disability is mainstreamed in </w:t>
      </w:r>
      <w:r w:rsidRPr="00306F9C">
        <w:rPr>
          <w:b/>
          <w:lang w:eastAsia="en-GB"/>
        </w:rPr>
        <w:t>youth</w:t>
      </w:r>
      <w:r w:rsidRPr="00306F9C">
        <w:rPr>
          <w:lang w:eastAsia="en-GB"/>
        </w:rPr>
        <w:t xml:space="preserve"> employment policies and schemes. Set targets, collect data and monitor impact on employment rates for that group.</w:t>
      </w:r>
    </w:p>
    <w:p w:rsidR="00BD6F1F" w:rsidRPr="00306F9C" w:rsidRDefault="00BB228F" w:rsidP="00EB1E95">
      <w:pPr>
        <w:pStyle w:val="ListParagraph"/>
        <w:numPr>
          <w:ilvl w:val="0"/>
          <w:numId w:val="29"/>
        </w:numPr>
        <w:ind w:left="567" w:hanging="567"/>
        <w:rPr>
          <w:lang w:eastAsia="en-GB"/>
        </w:rPr>
      </w:pPr>
      <w:r w:rsidRPr="00306F9C">
        <w:t>Increase participation of disabled people in targeted ALPs and</w:t>
      </w:r>
      <w:r w:rsidR="004A6119" w:rsidRPr="00306F9C">
        <w:t xml:space="preserve"> Social Entrepreneurship Calls. Measures should include improving </w:t>
      </w:r>
      <w:r w:rsidR="00C8555F" w:rsidRPr="00306F9C">
        <w:t xml:space="preserve">the </w:t>
      </w:r>
      <w:r w:rsidR="004A6119" w:rsidRPr="00306F9C">
        <w:t xml:space="preserve">accessibility of the Public Employment Service </w:t>
      </w:r>
      <w:r w:rsidRPr="00306F9C">
        <w:t>and</w:t>
      </w:r>
      <w:r w:rsidR="004A6119" w:rsidRPr="00306F9C">
        <w:t xml:space="preserve"> related </w:t>
      </w:r>
      <w:r w:rsidRPr="00306F9C">
        <w:t>support services</w:t>
      </w:r>
      <w:r w:rsidR="004A6119" w:rsidRPr="00306F9C">
        <w:t xml:space="preserve">, </w:t>
      </w:r>
      <w:r w:rsidR="00BD6F1F" w:rsidRPr="00306F9C">
        <w:t xml:space="preserve">and </w:t>
      </w:r>
      <w:r w:rsidR="004A6119" w:rsidRPr="00306F9C">
        <w:t>making</w:t>
      </w:r>
      <w:r w:rsidRPr="00306F9C">
        <w:t xml:space="preserve"> funding available for reasonable accommodation of workplaces</w:t>
      </w:r>
      <w:r w:rsidR="004A6119" w:rsidRPr="00306F9C">
        <w:t>/ training centres</w:t>
      </w:r>
      <w:r w:rsidRPr="00306F9C">
        <w:t xml:space="preserve"> on an ongoing basis</w:t>
      </w:r>
      <w:r w:rsidR="00C8555F" w:rsidRPr="00306F9C">
        <w:t xml:space="preserve"> (for instance for participants in ESF programs or for </w:t>
      </w:r>
      <w:r w:rsidR="00543AAE" w:rsidRPr="00306F9C">
        <w:t>businesses/</w:t>
      </w:r>
      <w:r w:rsidR="00C8555F" w:rsidRPr="00306F9C">
        <w:t xml:space="preserve"> employers)</w:t>
      </w:r>
      <w:r w:rsidR="004A6119" w:rsidRPr="00306F9C">
        <w:t>.</w:t>
      </w:r>
    </w:p>
    <w:p w:rsidR="00BD6F1F" w:rsidRPr="00306F9C" w:rsidRDefault="00D03A2E" w:rsidP="00EB1E95">
      <w:pPr>
        <w:pStyle w:val="ListParagraph"/>
        <w:numPr>
          <w:ilvl w:val="0"/>
          <w:numId w:val="29"/>
        </w:numPr>
        <w:ind w:left="567" w:hanging="567"/>
        <w:rPr>
          <w:lang w:eastAsia="en-GB"/>
        </w:rPr>
      </w:pPr>
      <w:r w:rsidRPr="00306F9C">
        <w:t xml:space="preserve">Include </w:t>
      </w:r>
      <w:r w:rsidR="00BD6F1F" w:rsidRPr="00306F9C">
        <w:t>disability</w:t>
      </w:r>
      <w:r w:rsidRPr="00306F9C">
        <w:t xml:space="preserve"> in </w:t>
      </w:r>
      <w:r w:rsidR="004D1504" w:rsidRPr="00306F9C">
        <w:t>national</w:t>
      </w:r>
      <w:r w:rsidRPr="00306F9C">
        <w:t xml:space="preserve"> data collection</w:t>
      </w:r>
      <w:r w:rsidR="00BD6F1F" w:rsidRPr="00306F9C">
        <w:t xml:space="preserve"> </w:t>
      </w:r>
      <w:r w:rsidRPr="00306F9C">
        <w:t xml:space="preserve">on </w:t>
      </w:r>
      <w:r w:rsidR="00BD6F1F" w:rsidRPr="00306F9C">
        <w:t xml:space="preserve">employment/ unemployment. </w:t>
      </w:r>
    </w:p>
    <w:p w:rsidR="00BD6F1F" w:rsidRPr="00306F9C" w:rsidRDefault="00BD6F1F" w:rsidP="00123DE3">
      <w:pPr>
        <w:ind w:left="360"/>
        <w:rPr>
          <w:lang w:eastAsia="en-GB"/>
        </w:rPr>
      </w:pPr>
    </w:p>
    <w:p w:rsidR="00BD6F1F" w:rsidRPr="00306F9C" w:rsidRDefault="00BD6F1F" w:rsidP="00123DE3">
      <w:pPr>
        <w:rPr>
          <w:b/>
          <w:lang w:eastAsia="en-GB"/>
        </w:rPr>
      </w:pPr>
      <w:r w:rsidRPr="00306F9C">
        <w:rPr>
          <w:b/>
          <w:lang w:eastAsia="en-GB"/>
        </w:rPr>
        <w:t>Education</w:t>
      </w:r>
      <w:r w:rsidR="00D462AD" w:rsidRPr="00306F9C">
        <w:rPr>
          <w:b/>
          <w:lang w:eastAsia="en-GB"/>
        </w:rPr>
        <w:t>:</w:t>
      </w:r>
    </w:p>
    <w:p w:rsidR="00D462AD" w:rsidRPr="00306F9C" w:rsidRDefault="00D462AD" w:rsidP="00123DE3">
      <w:pPr>
        <w:ind w:left="360"/>
        <w:rPr>
          <w:b/>
          <w:lang w:eastAsia="en-GB"/>
        </w:rPr>
      </w:pPr>
    </w:p>
    <w:p w:rsidR="008072EE" w:rsidRPr="00306F9C" w:rsidRDefault="008072EE" w:rsidP="00EB1E95">
      <w:pPr>
        <w:pStyle w:val="ListParagraph"/>
        <w:numPr>
          <w:ilvl w:val="0"/>
          <w:numId w:val="29"/>
        </w:numPr>
        <w:ind w:left="567" w:hanging="567"/>
      </w:pPr>
      <w:r w:rsidRPr="00306F9C">
        <w:t>Ensure use of EU funds to improve accessibility of mainstream school environments.</w:t>
      </w:r>
      <w:r w:rsidRPr="00306F9C">
        <w:rPr>
          <w:rStyle w:val="FootnoteReference"/>
          <w:lang w:eastAsia="en-GB"/>
        </w:rPr>
        <w:footnoteReference w:id="50"/>
      </w:r>
    </w:p>
    <w:p w:rsidR="00D462AD" w:rsidRPr="00306F9C" w:rsidRDefault="00D462AD" w:rsidP="00EB1E95">
      <w:pPr>
        <w:pStyle w:val="ListParagraph"/>
        <w:numPr>
          <w:ilvl w:val="0"/>
          <w:numId w:val="29"/>
        </w:numPr>
        <w:ind w:left="567" w:hanging="567"/>
      </w:pPr>
      <w:r w:rsidRPr="00306F9C">
        <w:t>Timely placement of teaching staff in special schools</w:t>
      </w:r>
      <w:r w:rsidR="005223DF" w:rsidRPr="00306F9C">
        <w:t>, making parallel support and inclusion classes available to all</w:t>
      </w:r>
      <w:r w:rsidR="00396843" w:rsidRPr="00306F9C">
        <w:t>: This</w:t>
      </w:r>
      <w:r w:rsidRPr="00306F9C">
        <w:t xml:space="preserve"> </w:t>
      </w:r>
      <w:r w:rsidR="00396843" w:rsidRPr="00306F9C">
        <w:t xml:space="preserve">can only be ensured by including this expenditure under the annual </w:t>
      </w:r>
      <w:r w:rsidR="005223DF" w:rsidRPr="00306F9C">
        <w:t>state</w:t>
      </w:r>
      <w:r w:rsidR="00396843" w:rsidRPr="00306F9C">
        <w:t xml:space="preserve"> budget (Recommendation by the Ombudsm</w:t>
      </w:r>
      <w:r w:rsidR="00EB1E95">
        <w:t>an Annual Equality Report 2014).</w:t>
      </w:r>
    </w:p>
    <w:p w:rsidR="008072EE" w:rsidRPr="00306F9C" w:rsidRDefault="008072EE" w:rsidP="00EB1E95">
      <w:pPr>
        <w:pStyle w:val="ListParagraph"/>
        <w:numPr>
          <w:ilvl w:val="0"/>
          <w:numId w:val="29"/>
        </w:numPr>
        <w:ind w:left="567" w:hanging="567"/>
      </w:pPr>
      <w:r w:rsidRPr="00306F9C">
        <w:t>Conduct evaluation studies which address the content/ experience of inclusive and special education (as opposed to having only quantitative studies of staff placement</w:t>
      </w:r>
      <w:r w:rsidR="00266EC3" w:rsidRPr="00306F9C">
        <w:t xml:space="preserve"> or percentage of funds absorbed</w:t>
      </w:r>
      <w:r w:rsidRPr="00306F9C">
        <w:t>).</w:t>
      </w:r>
    </w:p>
    <w:p w:rsidR="008072EE" w:rsidRPr="00306F9C" w:rsidRDefault="00CA33B1" w:rsidP="00EB1E95">
      <w:pPr>
        <w:pStyle w:val="ListParagraph"/>
        <w:numPr>
          <w:ilvl w:val="0"/>
          <w:numId w:val="29"/>
        </w:numPr>
        <w:ind w:left="567" w:hanging="567"/>
      </w:pPr>
      <w:r w:rsidRPr="00306F9C">
        <w:t xml:space="preserve">The renewed legislative framework should include </w:t>
      </w:r>
      <w:r w:rsidR="008072EE" w:rsidRPr="00306F9C">
        <w:t>national guidelines on implementing inclusive education, in respect of UNCRPD principles and international best practices</w:t>
      </w:r>
      <w:r w:rsidRPr="00306F9C">
        <w:t>.</w:t>
      </w:r>
    </w:p>
    <w:p w:rsidR="008072EE" w:rsidRPr="00306F9C" w:rsidRDefault="008072EE" w:rsidP="00EB1E95">
      <w:pPr>
        <w:pStyle w:val="ListParagraph"/>
        <w:numPr>
          <w:ilvl w:val="0"/>
          <w:numId w:val="29"/>
        </w:numPr>
        <w:ind w:left="567" w:hanging="567"/>
      </w:pPr>
      <w:r w:rsidRPr="00306F9C">
        <w:t>Establish/ enhance the role of accessibility units in tertiary education: learn from existing good practices nationally and internationally, involve disabled students/ communities.</w:t>
      </w:r>
    </w:p>
    <w:p w:rsidR="004D1504" w:rsidRPr="00306F9C" w:rsidRDefault="004D1504" w:rsidP="00123DE3">
      <w:pPr>
        <w:pStyle w:val="ListParagraph"/>
        <w:rPr>
          <w:b/>
          <w:lang w:eastAsia="en-GB"/>
        </w:rPr>
      </w:pPr>
    </w:p>
    <w:p w:rsidR="00BC519C" w:rsidRPr="00306F9C" w:rsidRDefault="00BC519C" w:rsidP="00123DE3">
      <w:pPr>
        <w:rPr>
          <w:b/>
          <w:lang w:eastAsia="en-GB"/>
        </w:rPr>
      </w:pPr>
      <w:r w:rsidRPr="00306F9C">
        <w:rPr>
          <w:b/>
          <w:lang w:eastAsia="en-GB"/>
        </w:rPr>
        <w:t>Risk of Poverty/ Social Exclusion</w:t>
      </w:r>
    </w:p>
    <w:p w:rsidR="00BD6F1F" w:rsidRPr="00306F9C" w:rsidRDefault="00BD6F1F" w:rsidP="00123DE3">
      <w:pPr>
        <w:ind w:left="360"/>
        <w:rPr>
          <w:b/>
          <w:lang w:eastAsia="en-GB"/>
        </w:rPr>
      </w:pPr>
    </w:p>
    <w:p w:rsidR="0070061B" w:rsidRPr="00306F9C" w:rsidRDefault="0070061B" w:rsidP="00EB1E95">
      <w:pPr>
        <w:pStyle w:val="ListParagraph"/>
        <w:numPr>
          <w:ilvl w:val="0"/>
          <w:numId w:val="32"/>
        </w:numPr>
        <w:ind w:left="567" w:hanging="567"/>
        <w:rPr>
          <w:lang w:eastAsia="en-GB"/>
        </w:rPr>
      </w:pPr>
      <w:r w:rsidRPr="00306F9C">
        <w:rPr>
          <w:lang w:eastAsia="en-GB"/>
        </w:rPr>
        <w:t>Include the dimension of disability in national statistics of poverty and material deprivation. Conduct research into the living conditions of house</w:t>
      </w:r>
      <w:r w:rsidR="006A3F91" w:rsidRPr="00306F9C">
        <w:rPr>
          <w:lang w:eastAsia="en-GB"/>
        </w:rPr>
        <w:t xml:space="preserve">holds with </w:t>
      </w:r>
      <w:r w:rsidR="006A3F91" w:rsidRPr="00306F9C">
        <w:rPr>
          <w:lang w:eastAsia="en-GB"/>
        </w:rPr>
        <w:lastRenderedPageBreak/>
        <w:t xml:space="preserve">disabled members, </w:t>
      </w:r>
      <w:r w:rsidRPr="00306F9C">
        <w:rPr>
          <w:lang w:eastAsia="en-GB"/>
        </w:rPr>
        <w:t xml:space="preserve">the </w:t>
      </w:r>
      <w:r w:rsidR="006A3F91" w:rsidRPr="00306F9C">
        <w:rPr>
          <w:lang w:eastAsia="en-GB"/>
        </w:rPr>
        <w:t xml:space="preserve">extra </w:t>
      </w:r>
      <w:r w:rsidRPr="00306F9C">
        <w:rPr>
          <w:lang w:eastAsia="en-GB"/>
        </w:rPr>
        <w:t>costs resulting from disability</w:t>
      </w:r>
      <w:r w:rsidR="006A3F91" w:rsidRPr="00306F9C">
        <w:rPr>
          <w:lang w:eastAsia="en-GB"/>
        </w:rPr>
        <w:t xml:space="preserve"> and the adequacy of disability benefits/ pensions as disposable income</w:t>
      </w:r>
      <w:r w:rsidRPr="00306F9C">
        <w:rPr>
          <w:lang w:eastAsia="en-GB"/>
        </w:rPr>
        <w:t>.</w:t>
      </w:r>
    </w:p>
    <w:p w:rsidR="0070061B" w:rsidRPr="00306F9C" w:rsidRDefault="0070061B" w:rsidP="00EB1E95">
      <w:pPr>
        <w:pStyle w:val="ListParagraph"/>
        <w:numPr>
          <w:ilvl w:val="0"/>
          <w:numId w:val="32"/>
        </w:numPr>
        <w:ind w:left="567" w:hanging="567"/>
        <w:rPr>
          <w:lang w:eastAsia="en-GB"/>
        </w:rPr>
      </w:pPr>
      <w:r w:rsidRPr="00306F9C">
        <w:t xml:space="preserve">Any rationalisation of resources </w:t>
      </w:r>
      <w:r w:rsidR="00C00B87" w:rsidRPr="00306F9C">
        <w:t>in light of the</w:t>
      </w:r>
      <w:r w:rsidRPr="00306F9C">
        <w:t xml:space="preserve"> welfare review </w:t>
      </w:r>
      <w:r w:rsidR="00C00B87" w:rsidRPr="00306F9C">
        <w:t xml:space="preserve">due, </w:t>
      </w:r>
      <w:r w:rsidRPr="00306F9C">
        <w:t>needs to be based on needs assessment (rather than diagnosis alone) taking into account the needs that result from impairment in relation to the environment i.e. adopt a definition of disability which is more closely aligned with the UNCRPD.</w:t>
      </w:r>
    </w:p>
    <w:p w:rsidR="00D657D4" w:rsidRPr="00306F9C" w:rsidRDefault="0070061B" w:rsidP="00EB1E95">
      <w:pPr>
        <w:pStyle w:val="ListParagraph"/>
        <w:numPr>
          <w:ilvl w:val="0"/>
          <w:numId w:val="32"/>
        </w:numPr>
        <w:ind w:left="567" w:hanging="567"/>
        <w:rPr>
          <w:b/>
        </w:rPr>
      </w:pPr>
      <w:r w:rsidRPr="00306F9C">
        <w:rPr>
          <w:lang w:eastAsia="en-GB"/>
        </w:rPr>
        <w:t>Use of EU funds to promote independent living schemes and targeted support services,</w:t>
      </w:r>
      <w:r w:rsidRPr="00306F9C">
        <w:rPr>
          <w:rStyle w:val="FootnoteReference"/>
          <w:lang w:eastAsia="en-GB"/>
        </w:rPr>
        <w:footnoteReference w:id="51"/>
      </w:r>
      <w:r w:rsidRPr="00306F9C">
        <w:rPr>
          <w:lang w:eastAsia="en-GB"/>
        </w:rPr>
        <w:t xml:space="preserve"> as well as create policy frameworks and quality monitoring systems for the regulation/ evaluation of such schemes, e. g. personal assistance schemes.</w:t>
      </w:r>
      <w:r w:rsidR="00AE358C">
        <w:rPr>
          <w:lang w:eastAsia="en-GB"/>
        </w:rPr>
        <w:t xml:space="preserve"> </w:t>
      </w:r>
      <w:r w:rsidR="00D657D4" w:rsidRPr="00306F9C">
        <w:rPr>
          <w:bCs/>
        </w:rPr>
        <w:t xml:space="preserve">UN Human Rights Committee 2015 Recommendation 10: “The State party should take immediate measures to abolish the use of enclosed restraint beds and systematic sedation in psychiatric and related institutions. </w:t>
      </w:r>
      <w:r w:rsidR="00D657D4" w:rsidRPr="00306F9C">
        <w:t xml:space="preserve"> Furthermore, the State party should establish an independent monitoring and reporting system, and ensure that abuses are effectively investigated and prosecuted and that redress is provided to the victims and their families.”</w:t>
      </w:r>
    </w:p>
    <w:p w:rsidR="00D657D4" w:rsidRPr="00306F9C" w:rsidRDefault="008359CC" w:rsidP="00EB1E95">
      <w:pPr>
        <w:pStyle w:val="ListParagraph"/>
        <w:numPr>
          <w:ilvl w:val="0"/>
          <w:numId w:val="32"/>
        </w:numPr>
        <w:ind w:left="567" w:hanging="567"/>
        <w:rPr>
          <w:b/>
        </w:rPr>
      </w:pPr>
      <w:r w:rsidRPr="00306F9C">
        <w:t>Take actions for</w:t>
      </w:r>
      <w:r w:rsidR="00D657D4" w:rsidRPr="00306F9C">
        <w:t xml:space="preserve"> progressive </w:t>
      </w:r>
      <w:r w:rsidR="00AB5EA7" w:rsidRPr="00306F9C">
        <w:t>de-ins</w:t>
      </w:r>
      <w:r w:rsidR="00AE358C">
        <w:t>titutionalisation with parallel</w:t>
      </w:r>
      <w:r w:rsidR="00AB5EA7" w:rsidRPr="00306F9C">
        <w:t xml:space="preserve"> </w:t>
      </w:r>
      <w:r w:rsidR="00F978EC" w:rsidRPr="00306F9C">
        <w:t>community based services and permanent closure of institutionalised settings</w:t>
      </w:r>
      <w:r w:rsidR="00EB1E95">
        <w:t>.</w:t>
      </w:r>
      <w:r w:rsidR="00F978EC" w:rsidRPr="00306F9C">
        <w:rPr>
          <w:rStyle w:val="FootnoteReference"/>
        </w:rPr>
        <w:footnoteReference w:id="52"/>
      </w:r>
      <w:r w:rsidR="00F978EC" w:rsidRPr="00306F9C">
        <w:t xml:space="preserve"> </w:t>
      </w:r>
    </w:p>
    <w:p w:rsidR="00BD6F1F" w:rsidRPr="00306F9C" w:rsidRDefault="00BD6F1F" w:rsidP="00123DE3">
      <w:pPr>
        <w:rPr>
          <w:lang w:eastAsia="en-GB"/>
        </w:rPr>
      </w:pPr>
    </w:p>
    <w:sectPr w:rsidR="00BD6F1F" w:rsidRPr="00306F9C" w:rsidSect="00123DE3">
      <w:headerReference w:type="default" r:id="rId30"/>
      <w:footerReference w:type="default" r:id="rId31"/>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E3" w:rsidRDefault="00123DE3" w:rsidP="00AF323E">
      <w:r>
        <w:separator/>
      </w:r>
    </w:p>
  </w:endnote>
  <w:endnote w:type="continuationSeparator" w:id="0">
    <w:p w:rsidR="00123DE3" w:rsidRDefault="00123DE3"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902"/>
      <w:docPartObj>
        <w:docPartGallery w:val="Page Numbers (Bottom of Page)"/>
        <w:docPartUnique/>
      </w:docPartObj>
    </w:sdtPr>
    <w:sdtEndPr>
      <w:rPr>
        <w:noProof/>
      </w:rPr>
    </w:sdtEndPr>
    <w:sdtContent>
      <w:p w:rsidR="00123DE3" w:rsidRDefault="00123DE3" w:rsidP="00694F9D">
        <w:pPr>
          <w:pStyle w:val="Footer"/>
          <w:jc w:val="center"/>
        </w:pPr>
        <w:r>
          <w:fldChar w:fldCharType="begin"/>
        </w:r>
        <w:r>
          <w:instrText xml:space="preserve"> PAGE   \* MERGEFORMAT </w:instrText>
        </w:r>
        <w:r>
          <w:fldChar w:fldCharType="separate"/>
        </w:r>
        <w:r w:rsidR="00AE358C">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E3" w:rsidRDefault="00123DE3" w:rsidP="00AF323E">
      <w:r>
        <w:separator/>
      </w:r>
    </w:p>
  </w:footnote>
  <w:footnote w:type="continuationSeparator" w:id="0">
    <w:p w:rsidR="00123DE3" w:rsidRDefault="00123DE3" w:rsidP="00AF323E">
      <w:r>
        <w:continuationSeparator/>
      </w:r>
    </w:p>
  </w:footnote>
  <w:footnote w:id="1">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Pr="00123DE3">
        <w:tab/>
      </w:r>
      <w:r w:rsidRPr="00123DE3">
        <w:rPr>
          <w:lang w:val="en-US"/>
        </w:rPr>
        <w:t xml:space="preserve">References to previous ANED reports are footnoted for more details, so as to avoid duplication. </w:t>
      </w:r>
    </w:p>
  </w:footnote>
  <w:footnote w:id="2">
    <w:p w:rsidR="00123DE3" w:rsidRPr="00123DE3" w:rsidRDefault="00123DE3" w:rsidP="00123DE3">
      <w:pPr>
        <w:pStyle w:val="FootnoteText"/>
        <w:ind w:left="284" w:hanging="284"/>
      </w:pPr>
      <w:r w:rsidRPr="00123DE3">
        <w:rPr>
          <w:rStyle w:val="FootnoteReference"/>
        </w:rPr>
        <w:footnoteRef/>
      </w:r>
      <w:r w:rsidRPr="00123DE3">
        <w:t xml:space="preserve"> </w:t>
      </w:r>
      <w:r w:rsidR="00306F9C">
        <w:tab/>
      </w:r>
      <w:hyperlink r:id="rId1" w:history="1">
        <w:r w:rsidRPr="00123DE3">
          <w:rPr>
            <w:rStyle w:val="Hyperlink"/>
          </w:rPr>
          <w:t>http://ec.europa.eu/europe2020/pdf/targets_en.pdf</w:t>
        </w:r>
      </w:hyperlink>
      <w:r w:rsidR="00AE358C">
        <w:rPr>
          <w:rStyle w:val="Hyperlink"/>
          <w:color w:val="auto"/>
          <w:u w:val="none"/>
        </w:rPr>
        <w:t>.</w:t>
      </w:r>
      <w:r w:rsidRPr="00123DE3">
        <w:rPr>
          <w:rStyle w:val="Hyperlink"/>
        </w:rPr>
        <w:t xml:space="preserve"> </w:t>
      </w:r>
    </w:p>
  </w:footnote>
  <w:footnote w:id="3">
    <w:p w:rsidR="00123DE3" w:rsidRPr="00123DE3" w:rsidRDefault="00123DE3" w:rsidP="00123DE3">
      <w:pPr>
        <w:pStyle w:val="FootnoteText"/>
        <w:ind w:left="284" w:hanging="284"/>
      </w:pPr>
      <w:r w:rsidRPr="00123DE3">
        <w:rPr>
          <w:rStyle w:val="FootnoteReference"/>
        </w:rPr>
        <w:footnoteRef/>
      </w:r>
      <w:r w:rsidRPr="00123DE3">
        <w:t xml:space="preserve"> </w:t>
      </w:r>
      <w:r w:rsidR="00306F9C">
        <w:tab/>
      </w:r>
      <w:r w:rsidRPr="00123DE3">
        <w:rPr>
          <w:lang w:eastAsia="en-GB"/>
        </w:rPr>
        <w:t>EUSILC UDB 2013 – version 2 of August 2015</w:t>
      </w:r>
      <w:r w:rsidR="00AE358C">
        <w:rPr>
          <w:lang w:eastAsia="en-GB"/>
        </w:rPr>
        <w:t>.</w:t>
      </w:r>
    </w:p>
  </w:footnote>
  <w:footnote w:id="4">
    <w:p w:rsidR="00123DE3" w:rsidRPr="00123DE3" w:rsidRDefault="00123DE3" w:rsidP="00123DE3">
      <w:pPr>
        <w:pStyle w:val="FootnoteText"/>
        <w:ind w:left="284" w:hanging="284"/>
      </w:pPr>
      <w:r w:rsidRPr="00123DE3">
        <w:rPr>
          <w:rStyle w:val="FootnoteReference"/>
        </w:rPr>
        <w:footnoteRef/>
      </w:r>
      <w:r w:rsidRPr="00123DE3">
        <w:t xml:space="preserve"> </w:t>
      </w:r>
      <w:r w:rsidR="00306F9C">
        <w:tab/>
      </w:r>
      <w:r w:rsidRPr="00123DE3">
        <w:t xml:space="preserve">The SILC survey questions are contained in the Minimum European Health Module (MEHM) </w:t>
      </w:r>
      <w:hyperlink r:id="rId2" w:history="1">
        <w:r w:rsidRPr="00123DE3">
          <w:rPr>
            <w:rStyle w:val="Hyperlink"/>
          </w:rPr>
          <w:t>http://epp.eurostat.ec.europa.eu/statistics_explained/index.php/Glossary:Minimum_European_Health_Module_(MEHM)</w:t>
        </w:r>
      </w:hyperlink>
      <w:r w:rsidR="00AE358C">
        <w:rPr>
          <w:rStyle w:val="Hyperlink"/>
          <w:u w:val="none"/>
        </w:rPr>
        <w:t>.</w:t>
      </w:r>
      <w:r w:rsidRPr="00123DE3">
        <w:t xml:space="preserve"> </w:t>
      </w:r>
    </w:p>
  </w:footnote>
  <w:footnote w:id="5">
    <w:p w:rsidR="00123DE3" w:rsidRPr="00123DE3" w:rsidRDefault="00123DE3" w:rsidP="00123DE3">
      <w:pPr>
        <w:pStyle w:val="FootnoteText"/>
        <w:ind w:left="284" w:hanging="284"/>
      </w:pPr>
      <w:r w:rsidRPr="00123DE3">
        <w:rPr>
          <w:rStyle w:val="FootnoteReference"/>
        </w:rPr>
        <w:footnoteRef/>
      </w:r>
      <w:r w:rsidRPr="00123DE3">
        <w:t xml:space="preserve"> </w:t>
      </w:r>
      <w:r w:rsidR="00306F9C">
        <w:tab/>
      </w:r>
      <w:r w:rsidRPr="00123DE3">
        <w:t xml:space="preserve">The methodology is further explained in the annual statistical reports of ANED, available at </w:t>
      </w:r>
      <w:hyperlink r:id="rId3" w:history="1">
        <w:r w:rsidRPr="00123DE3">
          <w:rPr>
            <w:rStyle w:val="Hyperlink"/>
          </w:rPr>
          <w:t>http://www.disability-europe.net/theme/statistical-indicators</w:t>
        </w:r>
      </w:hyperlink>
      <w:r w:rsidR="00AE358C">
        <w:rPr>
          <w:rStyle w:val="Hyperlink"/>
          <w:u w:val="none"/>
        </w:rPr>
        <w:t>.</w:t>
      </w:r>
      <w:r w:rsidRPr="00123DE3">
        <w:t xml:space="preserve"> </w:t>
      </w:r>
    </w:p>
  </w:footnote>
  <w:footnote w:id="6">
    <w:p w:rsidR="00123DE3" w:rsidRPr="00123DE3" w:rsidRDefault="00123DE3" w:rsidP="00123DE3">
      <w:pPr>
        <w:pStyle w:val="FootnoteText"/>
        <w:ind w:left="284" w:hanging="284"/>
      </w:pPr>
      <w:r w:rsidRPr="00123DE3">
        <w:rPr>
          <w:rStyle w:val="FootnoteReference"/>
        </w:rPr>
        <w:footnoteRef/>
      </w:r>
      <w:r w:rsidRPr="00123DE3">
        <w:t xml:space="preserve"> </w:t>
      </w:r>
      <w:r w:rsidR="00306F9C">
        <w:tab/>
      </w:r>
      <w:r w:rsidRPr="00123DE3">
        <w:t xml:space="preserve">For the LFS AHM data see, Early school leavers </w:t>
      </w:r>
      <w:hyperlink r:id="rId4" w:history="1">
        <w:r w:rsidRPr="00123DE3">
          <w:rPr>
            <w:rStyle w:val="Hyperlink"/>
          </w:rPr>
          <w:t>http://appsso.eurostat.ec.europa.eu/nui/show.do?dataset=hlth_de010&amp;lang=en</w:t>
        </w:r>
      </w:hyperlink>
      <w:r w:rsidRPr="00123DE3">
        <w:t xml:space="preserve"> and tertiary educational attainment </w:t>
      </w:r>
      <w:hyperlink r:id="rId5" w:history="1">
        <w:r w:rsidRPr="00123DE3">
          <w:rPr>
            <w:rStyle w:val="Hyperlink"/>
          </w:rPr>
          <w:t>http://appsso.eurostat.ec.europa.eu/nui/show.do?dataset=hlth_de020&amp;lang=en</w:t>
        </w:r>
      </w:hyperlink>
      <w:r w:rsidR="00AE358C">
        <w:rPr>
          <w:rStyle w:val="Hyperlink"/>
          <w:u w:val="none"/>
        </w:rPr>
        <w:t>.</w:t>
      </w:r>
      <w:r w:rsidRPr="00123DE3">
        <w:t xml:space="preserve"> </w:t>
      </w:r>
    </w:p>
  </w:footnote>
  <w:footnote w:id="7">
    <w:p w:rsidR="00123DE3" w:rsidRPr="00123DE3" w:rsidRDefault="00123DE3" w:rsidP="00123DE3">
      <w:pPr>
        <w:pStyle w:val="FootnoteText"/>
        <w:ind w:left="284" w:hanging="284"/>
      </w:pPr>
      <w:r w:rsidRPr="00123DE3">
        <w:rPr>
          <w:rStyle w:val="FootnoteReference"/>
        </w:rPr>
        <w:footnoteRef/>
      </w:r>
      <w:r w:rsidRPr="00123DE3">
        <w:t xml:space="preserve"> </w:t>
      </w:r>
      <w:r w:rsidR="00306F9C">
        <w:tab/>
      </w:r>
      <w:r w:rsidRPr="00123DE3">
        <w:rPr>
          <w:bCs/>
          <w:lang w:val="en-US"/>
        </w:rPr>
        <w:t>Nat. Stat</w:t>
      </w:r>
      <w:proofErr w:type="gramStart"/>
      <w:r w:rsidRPr="00123DE3">
        <w:rPr>
          <w:bCs/>
          <w:lang w:val="en-US"/>
        </w:rPr>
        <w:t>.(</w:t>
      </w:r>
      <w:proofErr w:type="gramEnd"/>
      <w:r w:rsidRPr="00123DE3">
        <w:rPr>
          <w:bCs/>
          <w:lang w:val="en-US"/>
        </w:rPr>
        <w:t xml:space="preserve">2014) </w:t>
      </w:r>
      <w:r w:rsidRPr="00123DE3">
        <w:rPr>
          <w:bCs/>
          <w:i/>
          <w:lang w:val="en-US"/>
        </w:rPr>
        <w:t xml:space="preserve">Pupils with special educational needs in primary </w:t>
      </w:r>
      <w:r w:rsidRPr="00123DE3">
        <w:rPr>
          <w:i/>
        </w:rPr>
        <w:t xml:space="preserve">and secondary education 2012-2013 </w:t>
      </w:r>
      <w:hyperlink r:id="rId6" w:history="1">
        <w:r w:rsidRPr="00123DE3">
          <w:rPr>
            <w:rStyle w:val="Hyperlink"/>
          </w:rPr>
          <w:t>http://www.statistics.gr/portal/page/portal/ESYE/PAGE-themes?p_param=A1404&amp;r_param=SED41&amp;y_param=2012_00&amp;mytabs=0</w:t>
        </w:r>
      </w:hyperlink>
      <w:r w:rsidR="00AE358C">
        <w:rPr>
          <w:rStyle w:val="Hyperlink"/>
          <w:u w:val="none"/>
        </w:rPr>
        <w:t>.</w:t>
      </w:r>
      <w:r w:rsidRPr="00123DE3">
        <w:rPr>
          <w:rStyle w:val="Hyperlink"/>
        </w:rPr>
        <w:t xml:space="preserve"> </w:t>
      </w:r>
    </w:p>
  </w:footnote>
  <w:footnote w:id="8">
    <w:p w:rsidR="00123DE3" w:rsidRPr="00306F9C" w:rsidRDefault="00123DE3" w:rsidP="00306F9C">
      <w:pPr>
        <w:pStyle w:val="FootnoteText"/>
        <w:ind w:left="284" w:hanging="284"/>
        <w:rPr>
          <w:bCs/>
          <w:lang w:val="en-US"/>
        </w:rPr>
      </w:pPr>
      <w:r w:rsidRPr="00123DE3">
        <w:rPr>
          <w:rStyle w:val="FootnoteReference"/>
        </w:rPr>
        <w:footnoteRef/>
      </w:r>
      <w:r w:rsidRPr="00123DE3">
        <w:t xml:space="preserve"> </w:t>
      </w:r>
      <w:r w:rsidR="00D304E4">
        <w:tab/>
      </w:r>
      <w:r w:rsidRPr="00123DE3">
        <w:t>I</w:t>
      </w:r>
      <w:r w:rsidRPr="00123DE3">
        <w:rPr>
          <w:bCs/>
          <w:lang w:val="en-US"/>
        </w:rPr>
        <w:t xml:space="preserve">n the school year 2012-2013 a total of 10360 pupils with disabilities received education or vocational training up to secondary level. The great majority of them (8464) attended primary and secondary schools regulated by the Ministry of Education (this can include mainstream, integrated or special education units), as opposed to welfare establishments (1517) or other vocational training units (379), where there is no clear distinction between primary and secondary levels of education. Data for pupils with disabilities who </w:t>
      </w:r>
      <w:r w:rsidRPr="00123DE3">
        <w:rPr>
          <w:b/>
          <w:bCs/>
          <w:lang w:val="en-US"/>
        </w:rPr>
        <w:t>graduated</w:t>
      </w:r>
      <w:r w:rsidRPr="00123DE3">
        <w:rPr>
          <w:bCs/>
          <w:lang w:val="en-US"/>
        </w:rPr>
        <w:t xml:space="preserve"> the same school year, showed however that only145 pupils graduated from primary education and 19 from secondary education. (Nat. Stat.2014 </w:t>
      </w:r>
      <w:r w:rsidRPr="00123DE3">
        <w:rPr>
          <w:bCs/>
          <w:i/>
          <w:lang w:val="en-US"/>
        </w:rPr>
        <w:t xml:space="preserve">Pupils with special educational needs in primary </w:t>
      </w:r>
      <w:r w:rsidRPr="00123DE3">
        <w:rPr>
          <w:i/>
        </w:rPr>
        <w:t xml:space="preserve">and secondary education 2012-2013 </w:t>
      </w:r>
      <w:r w:rsidRPr="00123DE3">
        <w:t>Tables 7 and 8)</w:t>
      </w:r>
      <w:r w:rsidR="00AE358C">
        <w:t>.</w:t>
      </w:r>
    </w:p>
  </w:footnote>
  <w:footnote w:id="9">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D304E4">
        <w:tab/>
      </w:r>
      <w:r w:rsidRPr="00123DE3">
        <w:t>“Candidates with serious conditions” is the term used in the respective legislation (L.3794/2009) which provides for the entrance of candidates with disabilities and chronic conditions to tertiary education without exams at a 5% quota.</w:t>
      </w:r>
    </w:p>
  </w:footnote>
  <w:footnote w:id="10">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D304E4">
        <w:tab/>
      </w:r>
      <w:r w:rsidRPr="00123DE3">
        <w:t xml:space="preserve">Ministry of Education (Announcement 15-10-2014) </w:t>
      </w:r>
      <w:r w:rsidRPr="00123DE3">
        <w:rPr>
          <w:i/>
        </w:rPr>
        <w:t xml:space="preserve">Results for entrance to university by candidates with severe conditions (5%) 2013 </w:t>
      </w:r>
      <w:hyperlink r:id="rId7" w:history="1">
        <w:r w:rsidRPr="00123DE3">
          <w:rPr>
            <w:rStyle w:val="Hyperlink"/>
          </w:rPr>
          <w:t>http://edu.klimaka.gr/anakoinoseis-panellhnies/panellhnies/1077-apotelesmata-eisagwghs-ypopshfiwn-sovares-pathhseis-5-panelladikes.html</w:t>
        </w:r>
      </w:hyperlink>
      <w:r w:rsidRPr="00123DE3">
        <w:rPr>
          <w:rStyle w:val="Hyperlink"/>
        </w:rPr>
        <w:t>.</w:t>
      </w:r>
      <w:r w:rsidRPr="00123DE3">
        <w:t xml:space="preserve"> </w:t>
      </w:r>
    </w:p>
  </w:footnote>
  <w:footnote w:id="11">
    <w:p w:rsidR="00123DE3" w:rsidRPr="00123DE3" w:rsidRDefault="00123DE3" w:rsidP="00123DE3">
      <w:pPr>
        <w:pStyle w:val="FootnoteText"/>
        <w:ind w:left="284" w:hanging="284"/>
      </w:pPr>
      <w:r w:rsidRPr="00123DE3">
        <w:rPr>
          <w:rStyle w:val="FootnoteReference"/>
        </w:rPr>
        <w:footnoteRef/>
      </w:r>
      <w:r w:rsidRPr="00123DE3">
        <w:t xml:space="preserve"> </w:t>
      </w:r>
      <w:r w:rsidR="00D304E4">
        <w:tab/>
      </w:r>
      <w:hyperlink r:id="rId8" w:history="1">
        <w:r w:rsidRPr="00123DE3">
          <w:rPr>
            <w:rStyle w:val="Hyperlink"/>
          </w:rPr>
          <w:t>http://sep4u.gr/wp-content/uploads/eis_aei_2015.pdf</w:t>
        </w:r>
      </w:hyperlink>
      <w:r w:rsidR="00AE358C">
        <w:rPr>
          <w:rStyle w:val="Hyperlink"/>
          <w:u w:val="none"/>
        </w:rPr>
        <w:t>.</w:t>
      </w:r>
      <w:r w:rsidRPr="00123DE3">
        <w:t xml:space="preserve"> </w:t>
      </w:r>
    </w:p>
  </w:footnote>
  <w:footnote w:id="12">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D304E4">
        <w:tab/>
      </w:r>
      <w:r w:rsidRPr="00123DE3">
        <w:t>Application deadline 15</w:t>
      </w:r>
      <w:r w:rsidRPr="00123DE3">
        <w:rPr>
          <w:vertAlign w:val="superscript"/>
        </w:rPr>
        <w:t>th</w:t>
      </w:r>
      <w:r w:rsidRPr="00123DE3">
        <w:t xml:space="preserve"> September 2015 </w:t>
      </w:r>
      <w:hyperlink r:id="rId9" w:history="1">
        <w:r w:rsidR="00D304E4" w:rsidRPr="00E747B6">
          <w:rPr>
            <w:rStyle w:val="Hyperlink"/>
          </w:rPr>
          <w:t>http://www.minedu.gov.gr/home/dioikitika-eggrafa/93-eggrafa-eksetaseon-ypopsifion-me-sobares-pathiseis/14066-14-09-15-2015</w:t>
        </w:r>
      </w:hyperlink>
      <w:r w:rsidR="00AE358C">
        <w:rPr>
          <w:rStyle w:val="Hyperlink"/>
          <w:u w:val="none"/>
        </w:rPr>
        <w:t>.</w:t>
      </w:r>
      <w:r w:rsidR="00D304E4">
        <w:t xml:space="preserve"> </w:t>
      </w:r>
    </w:p>
  </w:footnote>
  <w:footnote w:id="13">
    <w:p w:rsidR="00123DE3" w:rsidRPr="00123DE3" w:rsidRDefault="00123DE3" w:rsidP="00123DE3">
      <w:pPr>
        <w:pStyle w:val="FootnoteText"/>
        <w:ind w:left="284" w:hanging="284"/>
      </w:pPr>
      <w:r w:rsidRPr="00123DE3">
        <w:rPr>
          <w:rStyle w:val="FootnoteReference"/>
        </w:rPr>
        <w:footnoteRef/>
      </w:r>
      <w:r w:rsidRPr="00123DE3">
        <w:t xml:space="preserve"> </w:t>
      </w:r>
      <w:r w:rsidR="00D304E4">
        <w:tab/>
      </w:r>
      <w:r w:rsidRPr="00123DE3">
        <w:t xml:space="preserve">National Statistics Press Release Poverty Risk (2015) </w:t>
      </w:r>
      <w:hyperlink r:id="rId10" w:history="1">
        <w:r w:rsidRPr="00123DE3">
          <w:rPr>
            <w:rStyle w:val="Hyperlink"/>
          </w:rPr>
          <w:t>http://www.statistics.gr/portal/page/portal/ESYE/BUCKET/A0802/PressReleases/A0802_SFA10_DT_AN_00_2014_01_F_GR.pdf</w:t>
        </w:r>
      </w:hyperlink>
      <w:r w:rsidR="00AE358C">
        <w:rPr>
          <w:rStyle w:val="Hyperlink"/>
          <w:u w:val="none"/>
        </w:rPr>
        <w:t>.</w:t>
      </w:r>
      <w:r w:rsidRPr="00123DE3">
        <w:t xml:space="preserve"> </w:t>
      </w:r>
    </w:p>
  </w:footnote>
  <w:footnote w:id="14">
    <w:p w:rsidR="00123DE3" w:rsidRPr="00123DE3" w:rsidRDefault="00123DE3" w:rsidP="00123DE3">
      <w:pPr>
        <w:pStyle w:val="FootnoteText"/>
        <w:ind w:left="284" w:hanging="284"/>
      </w:pPr>
      <w:r w:rsidRPr="00123DE3">
        <w:rPr>
          <w:rStyle w:val="FootnoteReference"/>
        </w:rPr>
        <w:footnoteRef/>
      </w:r>
      <w:r w:rsidRPr="00123DE3">
        <w:t xml:space="preserve"> </w:t>
      </w:r>
      <w:r w:rsidR="00D304E4">
        <w:tab/>
      </w:r>
      <w:r w:rsidRPr="00123DE3">
        <w:t>National Statistics Press Release Poverty Risk (2015) p.8</w:t>
      </w:r>
      <w:r w:rsidR="00AE358C">
        <w:t>.</w:t>
      </w:r>
      <w:r w:rsidRPr="00123DE3">
        <w:t xml:space="preserve"> </w:t>
      </w:r>
    </w:p>
  </w:footnote>
  <w:footnote w:id="15">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D304E4">
        <w:tab/>
      </w:r>
      <w:r w:rsidRPr="00123DE3">
        <w:t>National Statistics Press Release Poverty Risk (2015) p.3</w:t>
      </w:r>
      <w:r w:rsidR="00AE358C">
        <w:t>.</w:t>
      </w:r>
    </w:p>
  </w:footnote>
  <w:footnote w:id="16">
    <w:p w:rsidR="00123DE3" w:rsidRPr="00123DE3" w:rsidRDefault="00123DE3" w:rsidP="00123DE3">
      <w:pPr>
        <w:pStyle w:val="FootnoteText"/>
        <w:ind w:left="284" w:hanging="284"/>
      </w:pPr>
      <w:r w:rsidRPr="00123DE3">
        <w:rPr>
          <w:rStyle w:val="FootnoteReference"/>
        </w:rPr>
        <w:footnoteRef/>
      </w:r>
      <w:r w:rsidRPr="00123DE3">
        <w:t xml:space="preserve"> </w:t>
      </w:r>
      <w:r w:rsidR="00D304E4">
        <w:tab/>
      </w:r>
      <w:hyperlink r:id="rId11" w:history="1">
        <w:r w:rsidRPr="00123DE3">
          <w:rPr>
            <w:rStyle w:val="Hyperlink"/>
          </w:rPr>
          <w:t>http://www.statistics.gr/statistics/-/publication/SHE27/-</w:t>
        </w:r>
      </w:hyperlink>
      <w:r w:rsidR="00AE358C">
        <w:rPr>
          <w:rStyle w:val="Hyperlink"/>
          <w:u w:val="none"/>
        </w:rPr>
        <w:t>.</w:t>
      </w:r>
      <w:r w:rsidRPr="00123DE3">
        <w:t xml:space="preserve"> </w:t>
      </w:r>
    </w:p>
  </w:footnote>
  <w:footnote w:id="17">
    <w:p w:rsidR="00123DE3" w:rsidRPr="00123DE3" w:rsidRDefault="00123DE3" w:rsidP="00123DE3">
      <w:pPr>
        <w:pStyle w:val="FootnoteText"/>
        <w:ind w:left="284" w:hanging="284"/>
      </w:pPr>
      <w:r w:rsidRPr="00123DE3">
        <w:rPr>
          <w:rStyle w:val="FootnoteReference"/>
        </w:rPr>
        <w:footnoteRef/>
      </w:r>
      <w:r w:rsidRPr="00123DE3">
        <w:t xml:space="preserve"> </w:t>
      </w:r>
      <w:r w:rsidR="00CE24B1">
        <w:tab/>
      </w:r>
      <w:r w:rsidRPr="00123DE3">
        <w:t>100% unemployment rate- Less than 50 observations in the EU SILC sample.</w:t>
      </w:r>
    </w:p>
  </w:footnote>
  <w:footnote w:id="18">
    <w:p w:rsidR="00123DE3" w:rsidRPr="00123DE3" w:rsidRDefault="00123DE3" w:rsidP="00123DE3">
      <w:pPr>
        <w:pStyle w:val="FootnoteText"/>
        <w:ind w:left="284" w:hanging="284"/>
      </w:pPr>
      <w:r w:rsidRPr="00123DE3">
        <w:rPr>
          <w:rStyle w:val="FootnoteReference"/>
        </w:rPr>
        <w:footnoteRef/>
      </w:r>
      <w:r w:rsidRPr="00123DE3">
        <w:t xml:space="preserve"> </w:t>
      </w:r>
      <w:r w:rsidR="00CE24B1">
        <w:tab/>
      </w:r>
      <w:r w:rsidRPr="00123DE3">
        <w:t>Please also note public sector placements are permanent contracts.</w:t>
      </w:r>
    </w:p>
  </w:footnote>
  <w:footnote w:id="19">
    <w:p w:rsidR="00123DE3" w:rsidRPr="00123DE3" w:rsidRDefault="00123DE3" w:rsidP="00123DE3">
      <w:pPr>
        <w:pStyle w:val="FootnoteText"/>
        <w:ind w:left="284" w:hanging="284"/>
      </w:pPr>
      <w:r w:rsidRPr="00123DE3">
        <w:rPr>
          <w:rStyle w:val="FootnoteReference"/>
        </w:rPr>
        <w:footnoteRef/>
      </w:r>
      <w:r w:rsidRPr="00123DE3">
        <w:t xml:space="preserve"> </w:t>
      </w:r>
      <w:r w:rsidR="00CE24B1">
        <w:tab/>
      </w:r>
      <w:hyperlink r:id="rId12" w:history="1">
        <w:r w:rsidRPr="00123DE3">
          <w:rPr>
            <w:rStyle w:val="Hyperlink"/>
          </w:rPr>
          <w:t>http://www.synigoros.gr/resources/docs/ee2014-12-diakriseis.pdf</w:t>
        </w:r>
      </w:hyperlink>
      <w:r w:rsidRPr="00123DE3">
        <w:t xml:space="preserve"> </w:t>
      </w:r>
    </w:p>
  </w:footnote>
  <w:footnote w:id="20">
    <w:p w:rsidR="00123DE3" w:rsidRPr="00123DE3" w:rsidRDefault="00123DE3" w:rsidP="00123DE3">
      <w:pPr>
        <w:pStyle w:val="FootnoteText"/>
        <w:ind w:left="284" w:hanging="284"/>
      </w:pPr>
      <w:r w:rsidRPr="00123DE3">
        <w:rPr>
          <w:rStyle w:val="FootnoteReference"/>
        </w:rPr>
        <w:footnoteRef/>
      </w:r>
      <w:r w:rsidRPr="00123DE3">
        <w:t xml:space="preserve"> </w:t>
      </w:r>
      <w:r w:rsidR="00CE24B1">
        <w:tab/>
      </w:r>
      <w:hyperlink r:id="rId13" w:history="1">
        <w:r w:rsidRPr="00123DE3">
          <w:rPr>
            <w:rStyle w:val="Hyperlink"/>
          </w:rPr>
          <w:t>http://esaea.gr/pressoffice/announcements/2731-diamartyria-me-polla-minymata-gia-tin-eidiki-ekpaideysi</w:t>
        </w:r>
      </w:hyperlink>
      <w:r w:rsidR="00AE358C">
        <w:rPr>
          <w:rStyle w:val="Hyperlink"/>
          <w:u w:val="none"/>
        </w:rPr>
        <w:t>.</w:t>
      </w:r>
      <w:r w:rsidRPr="00123DE3">
        <w:t xml:space="preserve"> </w:t>
      </w:r>
    </w:p>
  </w:footnote>
  <w:footnote w:id="21">
    <w:p w:rsidR="00123DE3" w:rsidRPr="00123DE3" w:rsidRDefault="00123DE3" w:rsidP="00123DE3">
      <w:pPr>
        <w:pStyle w:val="FootnoteText"/>
        <w:ind w:left="284" w:hanging="284"/>
      </w:pPr>
      <w:r w:rsidRPr="00123DE3">
        <w:rPr>
          <w:rStyle w:val="FootnoteReference"/>
        </w:rPr>
        <w:footnoteRef/>
      </w:r>
      <w:r w:rsidRPr="00123DE3">
        <w:t xml:space="preserve"> </w:t>
      </w:r>
      <w:r w:rsidR="00CE24B1">
        <w:tab/>
      </w:r>
      <w:hyperlink r:id="rId14" w:history="1">
        <w:r w:rsidRPr="00123DE3">
          <w:rPr>
            <w:rStyle w:val="Hyperlink"/>
          </w:rPr>
          <w:t>http://www.synigoros.gr/resources/docs/ee2014-12-diakriseis.pdf</w:t>
        </w:r>
      </w:hyperlink>
      <w:r w:rsidR="00AE358C">
        <w:rPr>
          <w:rStyle w:val="Hyperlink"/>
          <w:u w:val="none"/>
        </w:rPr>
        <w:t>.</w:t>
      </w:r>
      <w:r w:rsidRPr="00123DE3">
        <w:t xml:space="preserve"> </w:t>
      </w:r>
    </w:p>
  </w:footnote>
  <w:footnote w:id="22">
    <w:p w:rsidR="00123DE3" w:rsidRPr="00123DE3" w:rsidRDefault="00123DE3" w:rsidP="00123DE3">
      <w:pPr>
        <w:pStyle w:val="FootnoteText"/>
        <w:ind w:left="284" w:hanging="284"/>
      </w:pPr>
      <w:r w:rsidRPr="00123DE3">
        <w:rPr>
          <w:rStyle w:val="FootnoteReference"/>
        </w:rPr>
        <w:footnoteRef/>
      </w:r>
      <w:r w:rsidRPr="00123DE3">
        <w:t xml:space="preserve"> </w:t>
      </w:r>
      <w:r w:rsidR="00CE24B1">
        <w:tab/>
      </w:r>
      <w:r w:rsidRPr="00123DE3">
        <w:t>National Statistics Press Release Poverty Risk (2015) p.8</w:t>
      </w:r>
      <w:r w:rsidR="00AE358C">
        <w:t>.</w:t>
      </w:r>
      <w:r w:rsidRPr="00123DE3">
        <w:t xml:space="preserve"> </w:t>
      </w:r>
    </w:p>
  </w:footnote>
  <w:footnote w:id="23">
    <w:p w:rsidR="00123DE3" w:rsidRPr="00123DE3" w:rsidRDefault="00123DE3" w:rsidP="00123DE3">
      <w:pPr>
        <w:pStyle w:val="FootnoteText"/>
        <w:ind w:left="284" w:hanging="284"/>
      </w:pPr>
      <w:r w:rsidRPr="00123DE3">
        <w:rPr>
          <w:rStyle w:val="FootnoteReference"/>
        </w:rPr>
        <w:footnoteRef/>
      </w:r>
      <w:r w:rsidRPr="00123DE3">
        <w:t xml:space="preserve"> </w:t>
      </w:r>
      <w:r w:rsidR="00E62A9C">
        <w:tab/>
      </w:r>
      <w:r w:rsidRPr="00123DE3">
        <w:t xml:space="preserve">The </w:t>
      </w:r>
      <w:r w:rsidRPr="00123DE3">
        <w:rPr>
          <w:i/>
        </w:rPr>
        <w:t>Action Plan for the Creation of New Job Placements and Support for Unemployment 2013-2015</w:t>
      </w:r>
      <w:r w:rsidRPr="00123DE3">
        <w:t xml:space="preserve"> by the Ministry of Work, Social Security and Welfare captured 12 actions in total half of which targeted young people, specifically age groups 15-24, 25-29 and up to 35. Actions were funded and implemented through structural funds 2007-2013 and ESIF 2014-2020.</w:t>
      </w:r>
    </w:p>
  </w:footnote>
  <w:footnote w:id="24">
    <w:p w:rsidR="00123DE3" w:rsidRPr="00123DE3" w:rsidRDefault="00123DE3" w:rsidP="00123DE3">
      <w:pPr>
        <w:pStyle w:val="FootnoteText"/>
        <w:ind w:left="284" w:hanging="284"/>
        <w:rPr>
          <w:lang w:val="en-US"/>
        </w:rPr>
      </w:pPr>
      <w:r w:rsidRPr="00123DE3">
        <w:rPr>
          <w:rStyle w:val="FootnoteReference"/>
        </w:rPr>
        <w:footnoteRef/>
      </w:r>
      <w:r w:rsidRPr="00123DE3">
        <w:rPr>
          <w:lang w:val="en-US"/>
        </w:rPr>
        <w:t xml:space="preserve"> </w:t>
      </w:r>
      <w:r w:rsidR="00E62A9C">
        <w:rPr>
          <w:lang w:val="en-US"/>
        </w:rPr>
        <w:tab/>
      </w:r>
      <w:hyperlink r:id="rId15" w:history="1">
        <w:r w:rsidRPr="00123DE3">
          <w:rPr>
            <w:rStyle w:val="Hyperlink"/>
            <w:lang w:val="en-US"/>
          </w:rPr>
          <w:t>http://www.esfhellas.gr/el/Pages/NewsFS.aspx?item=183</w:t>
        </w:r>
      </w:hyperlink>
      <w:r w:rsidR="00AE358C">
        <w:rPr>
          <w:rStyle w:val="Hyperlink"/>
          <w:u w:val="none"/>
          <w:lang w:val="en-US"/>
        </w:rPr>
        <w:t>.</w:t>
      </w:r>
      <w:r w:rsidRPr="00123DE3">
        <w:rPr>
          <w:lang w:val="en-US"/>
        </w:rPr>
        <w:t xml:space="preserve"> </w:t>
      </w:r>
    </w:p>
  </w:footnote>
  <w:footnote w:id="25">
    <w:p w:rsidR="00123DE3" w:rsidRPr="00123DE3" w:rsidRDefault="00123DE3" w:rsidP="00123DE3">
      <w:pPr>
        <w:pStyle w:val="FootnoteText"/>
        <w:ind w:left="284" w:hanging="284"/>
        <w:rPr>
          <w:lang w:val="en-US"/>
        </w:rPr>
      </w:pPr>
      <w:r w:rsidRPr="00123DE3">
        <w:rPr>
          <w:rStyle w:val="FootnoteReference"/>
        </w:rPr>
        <w:footnoteRef/>
      </w:r>
      <w:r w:rsidRPr="00123DE3">
        <w:rPr>
          <w:lang w:val="en-US"/>
        </w:rPr>
        <w:t xml:space="preserve"> </w:t>
      </w:r>
      <w:r w:rsidR="00E62A9C">
        <w:rPr>
          <w:lang w:val="en-US"/>
        </w:rPr>
        <w:tab/>
      </w:r>
      <w:hyperlink r:id="rId16" w:history="1">
        <w:r w:rsidRPr="00123DE3">
          <w:rPr>
            <w:rStyle w:val="Hyperlink"/>
            <w:lang w:val="en-US"/>
          </w:rPr>
          <w:t>http://www.esfhellas.gr/el/Pages/NewsFS.aspx?item=167</w:t>
        </w:r>
      </w:hyperlink>
      <w:r w:rsidR="00AE358C">
        <w:rPr>
          <w:rStyle w:val="Hyperlink"/>
          <w:u w:val="none"/>
          <w:lang w:val="en-US"/>
        </w:rPr>
        <w:t>.</w:t>
      </w:r>
      <w:r w:rsidRPr="00123DE3">
        <w:rPr>
          <w:lang w:val="en-US"/>
        </w:rPr>
        <w:t xml:space="preserve"> </w:t>
      </w:r>
    </w:p>
  </w:footnote>
  <w:footnote w:id="26">
    <w:p w:rsidR="00123DE3" w:rsidRPr="00123DE3" w:rsidRDefault="00123DE3" w:rsidP="00123DE3">
      <w:pPr>
        <w:pStyle w:val="FootnoteText"/>
        <w:ind w:left="284" w:hanging="284"/>
        <w:rPr>
          <w:lang w:val="en-US"/>
        </w:rPr>
      </w:pPr>
      <w:r w:rsidRPr="00123DE3">
        <w:rPr>
          <w:rStyle w:val="FootnoteReference"/>
        </w:rPr>
        <w:footnoteRef/>
      </w:r>
      <w:r w:rsidRPr="00123DE3">
        <w:rPr>
          <w:lang w:val="en-US"/>
        </w:rPr>
        <w:t xml:space="preserve"> </w:t>
      </w:r>
      <w:r w:rsidR="00E62A9C">
        <w:rPr>
          <w:lang w:val="en-US"/>
        </w:rPr>
        <w:tab/>
      </w:r>
      <w:hyperlink r:id="rId17" w:history="1">
        <w:r w:rsidRPr="00123DE3">
          <w:rPr>
            <w:rStyle w:val="Hyperlink"/>
            <w:lang w:val="en-US"/>
          </w:rPr>
          <w:t>http://www.esfhellas.gr/el/Pages/NewsFS.aspx?item=179</w:t>
        </w:r>
      </w:hyperlink>
      <w:r w:rsidR="00AE358C">
        <w:rPr>
          <w:rStyle w:val="Hyperlink"/>
          <w:u w:val="none"/>
          <w:lang w:val="en-US"/>
        </w:rPr>
        <w:t>.</w:t>
      </w:r>
      <w:r w:rsidRPr="00123DE3">
        <w:rPr>
          <w:lang w:val="en-US"/>
        </w:rPr>
        <w:t xml:space="preserve"> </w:t>
      </w:r>
    </w:p>
  </w:footnote>
  <w:footnote w:id="27">
    <w:p w:rsidR="00123DE3" w:rsidRPr="00123DE3" w:rsidRDefault="00123DE3" w:rsidP="00123DE3">
      <w:pPr>
        <w:pStyle w:val="FootnoteText"/>
        <w:ind w:left="284" w:hanging="284"/>
      </w:pPr>
      <w:r w:rsidRPr="00123DE3">
        <w:rPr>
          <w:rStyle w:val="FootnoteReference"/>
        </w:rPr>
        <w:footnoteRef/>
      </w:r>
      <w:r w:rsidRPr="00123DE3">
        <w:t xml:space="preserve"> </w:t>
      </w:r>
      <w:r w:rsidR="00E62A9C">
        <w:tab/>
      </w:r>
      <w:r w:rsidRPr="00123DE3">
        <w:t>The National Reform Program (2015) sums up the implementation of such schemes, targeting 2300 unemployed persons with disabilities (subsidy of insurance contributions to employers) plus 800 New Self-Employed over a three year period within the 2007-2014 programming period.</w:t>
      </w:r>
    </w:p>
  </w:footnote>
  <w:footnote w:id="28">
    <w:p w:rsidR="00123DE3" w:rsidRPr="00123DE3" w:rsidRDefault="00123DE3" w:rsidP="00E62A9C">
      <w:pPr>
        <w:pStyle w:val="FootnoteText"/>
        <w:ind w:left="284" w:hanging="284"/>
      </w:pPr>
      <w:r w:rsidRPr="00123DE3">
        <w:rPr>
          <w:rStyle w:val="FootnoteReference"/>
        </w:rPr>
        <w:footnoteRef/>
      </w:r>
      <w:r w:rsidRPr="00123DE3">
        <w:t xml:space="preserve"> </w:t>
      </w:r>
      <w:r w:rsidR="00E62A9C">
        <w:tab/>
      </w:r>
      <w:r w:rsidRPr="00E62A9C">
        <w:t xml:space="preserve">Relevant data is included in the 2013 ANED country report, showing in brief that 9% of all beneficiaries of ALPs belonged to “vulnerable social groups”, in contrast with the target of 15%, </w:t>
      </w:r>
      <w:r w:rsidRPr="00123DE3">
        <w:t>whilst it is not clear what proportion of thes</w:t>
      </w:r>
      <w:r w:rsidR="00E62A9C">
        <w:t xml:space="preserve">e groups were disabled people. </w:t>
      </w:r>
    </w:p>
  </w:footnote>
  <w:footnote w:id="29">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E62A9C">
        <w:tab/>
      </w:r>
      <w:r w:rsidRPr="00123DE3">
        <w:t xml:space="preserve">Implementation law published </w:t>
      </w:r>
      <w:r w:rsidRPr="00123DE3">
        <w:rPr>
          <w:lang w:val="en-US"/>
        </w:rPr>
        <w:t>29</w:t>
      </w:r>
      <w:r w:rsidRPr="00123DE3">
        <w:rPr>
          <w:vertAlign w:val="superscript"/>
          <w:lang w:val="en-US"/>
        </w:rPr>
        <w:t>th</w:t>
      </w:r>
      <w:r w:rsidRPr="00123DE3">
        <w:rPr>
          <w:lang w:val="en-US"/>
        </w:rPr>
        <w:t xml:space="preserve"> September 2015 </w:t>
      </w:r>
      <w:hyperlink r:id="rId18" w:history="1">
        <w:r w:rsidRPr="00123DE3">
          <w:rPr>
            <w:rStyle w:val="Hyperlink"/>
          </w:rPr>
          <w:t>http://esaea.gr/legal-framework/circulars/2719-30-09-2015-gnostopoiisi-diataxeon-toy-n-4331-2015</w:t>
        </w:r>
      </w:hyperlink>
      <w:r w:rsidR="00AE358C">
        <w:rPr>
          <w:rStyle w:val="Hyperlink"/>
          <w:u w:val="none"/>
        </w:rPr>
        <w:t>.</w:t>
      </w:r>
      <w:r w:rsidRPr="00123DE3">
        <w:t xml:space="preserve"> </w:t>
      </w:r>
    </w:p>
  </w:footnote>
  <w:footnote w:id="30">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E62A9C">
        <w:tab/>
      </w:r>
      <w:r w:rsidRPr="00123DE3">
        <w:rPr>
          <w:lang w:val="en-US"/>
        </w:rPr>
        <w:t>See for instance ANED (2013) and (2014) EU2020 Country Reports: Input to the European Semester</w:t>
      </w:r>
      <w:r w:rsidR="00AE358C">
        <w:rPr>
          <w:lang w:val="en-US"/>
        </w:rPr>
        <w:t>.</w:t>
      </w:r>
      <w:r w:rsidRPr="00123DE3">
        <w:rPr>
          <w:lang w:val="en-US"/>
        </w:rPr>
        <w:t xml:space="preserve"> </w:t>
      </w:r>
    </w:p>
  </w:footnote>
  <w:footnote w:id="31">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E62A9C">
        <w:tab/>
      </w:r>
      <w:r w:rsidRPr="00123DE3">
        <w:t>Law 4186/2013: The policy framework equally includes special secondary education units, including special vocational workshops, which provide vocational rights upon graduation</w:t>
      </w:r>
      <w:r w:rsidR="00E62A9C">
        <w:t>.</w:t>
      </w:r>
    </w:p>
  </w:footnote>
  <w:footnote w:id="32">
    <w:p w:rsidR="00123DE3" w:rsidRPr="00AE358C" w:rsidRDefault="00123DE3" w:rsidP="00123DE3">
      <w:pPr>
        <w:pStyle w:val="FootnoteText"/>
        <w:ind w:left="284" w:hanging="284"/>
        <w:rPr>
          <w:lang w:val="en-US"/>
        </w:rPr>
      </w:pPr>
      <w:r w:rsidRPr="00123DE3">
        <w:rPr>
          <w:rStyle w:val="FootnoteReference"/>
        </w:rPr>
        <w:footnoteRef/>
      </w:r>
      <w:r w:rsidRPr="00123DE3">
        <w:t xml:space="preserve"> </w:t>
      </w:r>
      <w:r w:rsidR="0019365D">
        <w:tab/>
      </w:r>
      <w:r w:rsidRPr="00123DE3">
        <w:t xml:space="preserve">National Statistics Press Release Poverty Risk (2015) p. 4 </w:t>
      </w:r>
      <w:hyperlink r:id="rId19" w:history="1">
        <w:r w:rsidRPr="00123DE3">
          <w:rPr>
            <w:rStyle w:val="Hyperlink"/>
          </w:rPr>
          <w:t>http://www.statistics.gr/portal/page/portal/ESYE/BUCKET/A0802/PressReleases/A0802_SFA10_DT_AN_00_2014_01_F_GR.pdf</w:t>
        </w:r>
      </w:hyperlink>
      <w:r w:rsidR="00AE358C">
        <w:rPr>
          <w:rStyle w:val="Hyperlink"/>
          <w:u w:val="none"/>
        </w:rPr>
        <w:t>.</w:t>
      </w:r>
    </w:p>
  </w:footnote>
  <w:footnote w:id="33">
    <w:p w:rsidR="00123DE3" w:rsidRPr="00123DE3" w:rsidRDefault="00123DE3" w:rsidP="00123DE3">
      <w:pPr>
        <w:pStyle w:val="FootnoteText"/>
        <w:ind w:left="284" w:hanging="284"/>
      </w:pPr>
      <w:r w:rsidRPr="00123DE3">
        <w:rPr>
          <w:rStyle w:val="FootnoteReference"/>
        </w:rPr>
        <w:footnoteRef/>
      </w:r>
      <w:r w:rsidRPr="00123DE3">
        <w:t xml:space="preserve"> </w:t>
      </w:r>
      <w:r w:rsidR="0019365D">
        <w:tab/>
      </w:r>
      <w:r w:rsidRPr="00123DE3">
        <w:t>Nat. Stat. (2015) p. 8</w:t>
      </w:r>
      <w:r w:rsidR="0019365D">
        <w:t>.</w:t>
      </w:r>
    </w:p>
  </w:footnote>
  <w:footnote w:id="34">
    <w:p w:rsidR="00123DE3" w:rsidRPr="00123DE3" w:rsidRDefault="00123DE3" w:rsidP="00123DE3">
      <w:pPr>
        <w:pStyle w:val="FootnoteText"/>
        <w:ind w:left="284" w:hanging="284"/>
      </w:pPr>
      <w:r w:rsidRPr="00123DE3">
        <w:rPr>
          <w:rStyle w:val="FootnoteReference"/>
        </w:rPr>
        <w:footnoteRef/>
      </w:r>
      <w:r w:rsidRPr="00123DE3">
        <w:t xml:space="preserve"> </w:t>
      </w:r>
      <w:r w:rsidR="0019365D">
        <w:tab/>
      </w:r>
      <w:r w:rsidRPr="00123DE3">
        <w:t>SWD (2015) 162 “</w:t>
      </w:r>
      <w:r w:rsidRPr="00123DE3">
        <w:rPr>
          <w:i/>
        </w:rPr>
        <w:t>Assessment of the Social Impact of the new Stability Support Programme for Greece</w:t>
      </w:r>
      <w:r w:rsidR="0019365D">
        <w:t>” Table A.3 p. 24.</w:t>
      </w:r>
    </w:p>
  </w:footnote>
  <w:footnote w:id="35">
    <w:p w:rsidR="00123DE3" w:rsidRPr="00123DE3" w:rsidRDefault="00123DE3" w:rsidP="00123DE3">
      <w:pPr>
        <w:pStyle w:val="FootnoteText"/>
        <w:ind w:left="284" w:hanging="284"/>
      </w:pPr>
      <w:r w:rsidRPr="00123DE3">
        <w:rPr>
          <w:rStyle w:val="FootnoteReference"/>
        </w:rPr>
        <w:footnoteRef/>
      </w:r>
      <w:r w:rsidRPr="00123DE3">
        <w:t xml:space="preserve"> </w:t>
      </w:r>
      <w:r w:rsidR="0019365D">
        <w:tab/>
      </w:r>
      <w:hyperlink r:id="rId20" w:history="1">
        <w:r w:rsidRPr="00123DE3">
          <w:rPr>
            <w:rStyle w:val="Hyperlink"/>
          </w:rPr>
          <w:t>http://esaea.gr/press-office/press-releases/2748-diakiryxi-e-s-a-mea-gia-tin-4i-noembrioy-gia-tin-axioprepeia-tin-koinoniki-prostasia-tin-isotita-ti-dikaiosyni</w:t>
        </w:r>
      </w:hyperlink>
      <w:r w:rsidR="00AE358C">
        <w:rPr>
          <w:rStyle w:val="Hyperlink"/>
          <w:u w:val="none"/>
        </w:rPr>
        <w:t>.</w:t>
      </w:r>
      <w:r w:rsidRPr="00123DE3">
        <w:t xml:space="preserve"> </w:t>
      </w:r>
    </w:p>
  </w:footnote>
  <w:footnote w:id="36">
    <w:p w:rsidR="00123DE3" w:rsidRPr="00123DE3" w:rsidRDefault="00123DE3" w:rsidP="00123DE3">
      <w:pPr>
        <w:pStyle w:val="FootnoteText"/>
        <w:ind w:left="284" w:hanging="284"/>
      </w:pPr>
      <w:r w:rsidRPr="00123DE3">
        <w:rPr>
          <w:rStyle w:val="FootnoteReference"/>
        </w:rPr>
        <w:footnoteRef/>
      </w:r>
      <w:r w:rsidRPr="00123DE3">
        <w:t xml:space="preserve"> </w:t>
      </w:r>
      <w:r w:rsidR="0019365D">
        <w:tab/>
      </w:r>
      <w:r w:rsidRPr="00123DE3">
        <w:t xml:space="preserve">UN Committee on the Rights of Child (2012) </w:t>
      </w:r>
      <w:r w:rsidRPr="00123DE3">
        <w:rPr>
          <w:i/>
        </w:rPr>
        <w:t xml:space="preserve">Consideration of reports submitted by States parties under article 44 of the Convention </w:t>
      </w:r>
      <w:r w:rsidRPr="00123DE3">
        <w:t xml:space="preserve">available at </w:t>
      </w:r>
      <w:hyperlink r:id="rId21" w:history="1">
        <w:r w:rsidRPr="00123DE3">
          <w:rPr>
            <w:rStyle w:val="Hyperlink"/>
          </w:rPr>
          <w:t>http://www2.ohchr.org/english/bodies/crc/docs/co/CRC_C_GRC_CO_2-3.pdf</w:t>
        </w:r>
      </w:hyperlink>
      <w:r w:rsidR="00AE358C">
        <w:rPr>
          <w:rStyle w:val="Hyperlink"/>
          <w:u w:val="none"/>
        </w:rPr>
        <w:t>.</w:t>
      </w:r>
      <w:r w:rsidRPr="00123DE3">
        <w:t xml:space="preserve"> </w:t>
      </w:r>
    </w:p>
  </w:footnote>
  <w:footnote w:id="37">
    <w:p w:rsidR="00123DE3" w:rsidRPr="00AE358C" w:rsidRDefault="00123DE3" w:rsidP="00123DE3">
      <w:pPr>
        <w:pStyle w:val="FootnoteText"/>
        <w:ind w:left="284" w:hanging="284"/>
      </w:pPr>
      <w:r w:rsidRPr="00123DE3">
        <w:rPr>
          <w:rStyle w:val="FootnoteReference"/>
        </w:rPr>
        <w:footnoteRef/>
      </w:r>
      <w:bookmarkStart w:id="38" w:name="_ftn1"/>
      <w:bookmarkEnd w:id="38"/>
      <w:r w:rsidR="0019365D">
        <w:t xml:space="preserve"> </w:t>
      </w:r>
      <w:r w:rsidR="0019365D">
        <w:tab/>
      </w:r>
      <w:r w:rsidRPr="00123DE3">
        <w:t xml:space="preserve">UN Human Rights Committee (2015) </w:t>
      </w:r>
      <w:r w:rsidRPr="00123DE3">
        <w:rPr>
          <w:i/>
        </w:rPr>
        <w:t>Concluding observations on the second periodic report of Greece</w:t>
      </w:r>
      <w:r w:rsidRPr="00123DE3">
        <w:t xml:space="preserve"> available at </w:t>
      </w:r>
      <w:hyperlink r:id="rId22" w:history="1">
        <w:r w:rsidRPr="00123DE3">
          <w:rPr>
            <w:rStyle w:val="Hyperlink"/>
          </w:rPr>
          <w:t>http://tbinternet.ohchr.org/Treaties/CCPR/Shared%20Documents/GRC/CCPR_C_GRC_CO_2_22220_E.docx</w:t>
        </w:r>
      </w:hyperlink>
      <w:r w:rsidR="00AE358C">
        <w:rPr>
          <w:rStyle w:val="Hyperlink"/>
          <w:u w:val="none"/>
        </w:rPr>
        <w:t>.</w:t>
      </w:r>
    </w:p>
  </w:footnote>
  <w:footnote w:id="38">
    <w:p w:rsidR="00123DE3" w:rsidRPr="00123DE3" w:rsidRDefault="00123DE3" w:rsidP="00123DE3">
      <w:pPr>
        <w:pStyle w:val="FootnoteText"/>
        <w:ind w:left="284" w:hanging="284"/>
        <w:rPr>
          <w:lang w:val="en-US"/>
        </w:rPr>
      </w:pPr>
      <w:r w:rsidRPr="00123DE3">
        <w:rPr>
          <w:rStyle w:val="FootnoteReference"/>
        </w:rPr>
        <w:footnoteRef/>
      </w:r>
      <w:r w:rsidRPr="00123DE3">
        <w:rPr>
          <w:lang w:val="en-US"/>
        </w:rPr>
        <w:t xml:space="preserve"> </w:t>
      </w:r>
      <w:r w:rsidR="00472DAE">
        <w:rPr>
          <w:lang w:val="en-US"/>
        </w:rPr>
        <w:tab/>
      </w:r>
      <w:r w:rsidRPr="00123DE3">
        <w:rPr>
          <w:lang w:val="en-US"/>
        </w:rPr>
        <w:t xml:space="preserve">The Greek Ombudsman (2012) </w:t>
      </w:r>
      <w:r w:rsidRPr="00123DE3">
        <w:rPr>
          <w:i/>
          <w:lang w:val="en-US"/>
        </w:rPr>
        <w:t>Parallel Report of the Greek Ombudsman to the UN CRC</w:t>
      </w:r>
      <w:r w:rsidRPr="00123DE3">
        <w:rPr>
          <w:lang w:val="en-US"/>
        </w:rPr>
        <w:t xml:space="preserve"> available at </w:t>
      </w:r>
      <w:hyperlink r:id="rId23" w:history="1">
        <w:r w:rsidRPr="00123DE3">
          <w:rPr>
            <w:rStyle w:val="Hyperlink"/>
            <w:lang w:val="en-US"/>
          </w:rPr>
          <w:t>http://www.synigoros.gr/resources/parallel-report-un--3.pdf</w:t>
        </w:r>
      </w:hyperlink>
      <w:r w:rsidR="00AE358C">
        <w:rPr>
          <w:lang w:val="en-US"/>
        </w:rPr>
        <w:t>.</w:t>
      </w:r>
      <w:r w:rsidRPr="00123DE3">
        <w:rPr>
          <w:lang w:val="en-US"/>
        </w:rPr>
        <w:t xml:space="preserve"> </w:t>
      </w:r>
    </w:p>
  </w:footnote>
  <w:footnote w:id="39">
    <w:p w:rsidR="00123DE3" w:rsidRPr="00123DE3" w:rsidRDefault="00123DE3" w:rsidP="00123DE3">
      <w:pPr>
        <w:pStyle w:val="FootnoteText"/>
        <w:ind w:left="284" w:hanging="284"/>
      </w:pPr>
      <w:r w:rsidRPr="00123DE3">
        <w:rPr>
          <w:rStyle w:val="FootnoteReference"/>
        </w:rPr>
        <w:footnoteRef/>
      </w:r>
      <w:r w:rsidRPr="00123DE3">
        <w:t xml:space="preserve"> </w:t>
      </w:r>
      <w:r w:rsidR="00472DAE">
        <w:tab/>
      </w:r>
      <w:r w:rsidRPr="00123DE3">
        <w:t xml:space="preserve">Supreme Court Protocol Number 8213/13-11-2015 published at </w:t>
      </w:r>
      <w:hyperlink r:id="rId24" w:history="1">
        <w:r w:rsidRPr="00123DE3">
          <w:rPr>
            <w:rStyle w:val="Hyperlink"/>
          </w:rPr>
          <w:t>http://booksjournal.gr/blog/item/1579</w:t>
        </w:r>
      </w:hyperlink>
      <w:r w:rsidR="00AE358C">
        <w:rPr>
          <w:rStyle w:val="Hyperlink"/>
          <w:u w:val="none"/>
        </w:rPr>
        <w:t>.</w:t>
      </w:r>
      <w:r w:rsidRPr="00123DE3">
        <w:t xml:space="preserve"> </w:t>
      </w:r>
    </w:p>
  </w:footnote>
  <w:footnote w:id="40">
    <w:p w:rsidR="00123DE3" w:rsidRPr="00AE358C" w:rsidRDefault="00123DE3" w:rsidP="00123DE3">
      <w:pPr>
        <w:pStyle w:val="FootnoteText"/>
        <w:ind w:left="284" w:hanging="284"/>
      </w:pPr>
      <w:r w:rsidRPr="00123DE3">
        <w:rPr>
          <w:rStyle w:val="FootnoteReference"/>
        </w:rPr>
        <w:footnoteRef/>
      </w:r>
      <w:r w:rsidRPr="00123DE3">
        <w:t xml:space="preserve"> </w:t>
      </w:r>
      <w:r w:rsidR="00472DAE">
        <w:tab/>
      </w:r>
      <w:r w:rsidRPr="00123DE3">
        <w:rPr>
          <w:lang w:val="en-US"/>
        </w:rPr>
        <w:t xml:space="preserve">The Greek Ombudsman (2011) </w:t>
      </w:r>
      <w:r w:rsidRPr="00123DE3">
        <w:rPr>
          <w:i/>
          <w:lang w:val="en-US"/>
        </w:rPr>
        <w:t xml:space="preserve">About the Conditions at the Institution of </w:t>
      </w:r>
      <w:proofErr w:type="spellStart"/>
      <w:r w:rsidRPr="00123DE3">
        <w:rPr>
          <w:i/>
          <w:lang w:val="en-US"/>
        </w:rPr>
        <w:t>Lechaina</w:t>
      </w:r>
      <w:proofErr w:type="spellEnd"/>
      <w:r w:rsidRPr="00123DE3">
        <w:rPr>
          <w:i/>
          <w:lang w:val="en-US"/>
        </w:rPr>
        <w:t xml:space="preserve"> </w:t>
      </w:r>
      <w:hyperlink r:id="rId25" w:history="1">
        <w:r w:rsidRPr="00123DE3">
          <w:rPr>
            <w:rStyle w:val="Hyperlink"/>
            <w:lang w:val="en-US"/>
          </w:rPr>
          <w:t>http://www.synigoros.gr/?i=childrens-rights.el.files.46883</w:t>
        </w:r>
      </w:hyperlink>
      <w:r w:rsidR="00AE358C">
        <w:rPr>
          <w:rStyle w:val="Hyperlink"/>
          <w:u w:val="none"/>
          <w:lang w:val="en-US"/>
        </w:rPr>
        <w:t>.</w:t>
      </w:r>
    </w:p>
  </w:footnote>
  <w:footnote w:id="41">
    <w:p w:rsidR="00123DE3" w:rsidRPr="00123DE3" w:rsidRDefault="00123DE3" w:rsidP="00123DE3">
      <w:pPr>
        <w:pStyle w:val="FootnoteText"/>
        <w:ind w:left="284" w:hanging="284"/>
      </w:pPr>
      <w:r w:rsidRPr="00123DE3">
        <w:rPr>
          <w:rStyle w:val="FootnoteReference"/>
        </w:rPr>
        <w:footnoteRef/>
      </w:r>
      <w:r w:rsidRPr="00123DE3">
        <w:t xml:space="preserve"> </w:t>
      </w:r>
      <w:r w:rsidR="00472DAE">
        <w:tab/>
      </w:r>
      <w:r w:rsidRPr="00123DE3">
        <w:t xml:space="preserve">BBC World Service 14 November 2014 “The disabled children locked up in cages” by Chloe </w:t>
      </w:r>
      <w:proofErr w:type="spellStart"/>
      <w:r w:rsidRPr="00123DE3">
        <w:rPr>
          <w:rStyle w:val="bylinename"/>
        </w:rPr>
        <w:t>Hadjimatheou</w:t>
      </w:r>
      <w:proofErr w:type="spellEnd"/>
      <w:r w:rsidRPr="00123DE3">
        <w:t xml:space="preserve"> </w:t>
      </w:r>
      <w:hyperlink r:id="rId26" w:history="1">
        <w:r w:rsidRPr="00123DE3">
          <w:rPr>
            <w:rStyle w:val="Hyperlink"/>
          </w:rPr>
          <w:t>http://www.bbc.com/news/magazine-30038753</w:t>
        </w:r>
      </w:hyperlink>
      <w:r w:rsidR="00AE358C">
        <w:rPr>
          <w:rStyle w:val="Hyperlink"/>
          <w:u w:val="none"/>
        </w:rPr>
        <w:t>.</w:t>
      </w:r>
      <w:r w:rsidRPr="00123DE3">
        <w:t xml:space="preserve"> </w:t>
      </w:r>
    </w:p>
  </w:footnote>
  <w:footnote w:id="42">
    <w:p w:rsidR="00123DE3" w:rsidRPr="00123DE3" w:rsidRDefault="00123DE3" w:rsidP="00123DE3">
      <w:pPr>
        <w:pStyle w:val="FootnoteText"/>
        <w:ind w:left="284" w:hanging="284"/>
      </w:pPr>
      <w:r w:rsidRPr="00123DE3">
        <w:rPr>
          <w:rStyle w:val="FootnoteReference"/>
        </w:rPr>
        <w:footnoteRef/>
      </w:r>
      <w:r w:rsidRPr="00123DE3">
        <w:t xml:space="preserve"> </w:t>
      </w:r>
      <w:r w:rsidR="00472DAE">
        <w:tab/>
      </w:r>
      <w:r w:rsidRPr="00123DE3">
        <w:t>NSFSI 2015-2020 (p. 42) makes specific reference to the concept of “active inclusion of vulnerable social groups/ groups excluded from the labour market” as discussed and shaped in the EC COM 79 (2000) and 369 (2008) documents.</w:t>
      </w:r>
    </w:p>
  </w:footnote>
  <w:footnote w:id="43">
    <w:p w:rsidR="00123DE3" w:rsidRPr="00123DE3" w:rsidRDefault="00123DE3" w:rsidP="00123DE3">
      <w:pPr>
        <w:pStyle w:val="FootnoteText"/>
        <w:ind w:left="284" w:hanging="284"/>
        <w:rPr>
          <w:lang w:val="en-US"/>
        </w:rPr>
      </w:pPr>
      <w:r w:rsidRPr="00123DE3">
        <w:rPr>
          <w:rStyle w:val="FootnoteReference"/>
        </w:rPr>
        <w:footnoteRef/>
      </w:r>
      <w:r w:rsidR="00472DAE">
        <w:rPr>
          <w:lang w:eastAsia="en-GB"/>
        </w:rPr>
        <w:t xml:space="preserve"> </w:t>
      </w:r>
      <w:r w:rsidR="00472DAE">
        <w:rPr>
          <w:lang w:eastAsia="en-GB"/>
        </w:rPr>
        <w:tab/>
      </w:r>
      <w:r w:rsidRPr="00123DE3">
        <w:rPr>
          <w:lang w:eastAsia="en-GB"/>
        </w:rPr>
        <w:t>Law 4331/2015</w:t>
      </w:r>
      <w:r w:rsidRPr="00123DE3">
        <w:t xml:space="preserve"> </w:t>
      </w:r>
      <w:r w:rsidRPr="00123DE3">
        <w:rPr>
          <w:i/>
        </w:rPr>
        <w:t xml:space="preserve">Measures for the relief of </w:t>
      </w:r>
      <w:proofErr w:type="spellStart"/>
      <w:r w:rsidRPr="00123DE3">
        <w:rPr>
          <w:i/>
        </w:rPr>
        <w:t>PwD</w:t>
      </w:r>
      <w:proofErr w:type="spellEnd"/>
      <w:r w:rsidRPr="00123DE3">
        <w:rPr>
          <w:i/>
        </w:rPr>
        <w:t xml:space="preserve">, the simplification of the Disability Certification Centres and Related issues </w:t>
      </w:r>
      <w:hyperlink r:id="rId27" w:history="1">
        <w:r w:rsidRPr="00123DE3">
          <w:rPr>
            <w:rStyle w:val="Hyperlink"/>
          </w:rPr>
          <w:t>http://www.esaea.gr/legal-framework/laws/2620-n-4331-2015-metra-gia-tin-anakoyfisi-ton-atomon-me-anapiria-amea-tin-aplopoiisi-tis-leitoyrgias-ton-kentron-pistopoiisis-anapirias-ke-p-a-katapolemisi-tis-eisforodiafygis-kai-synafi-asfalistika-zitimata-kai-alles-diataxeis</w:t>
        </w:r>
      </w:hyperlink>
      <w:r w:rsidR="00AE358C">
        <w:rPr>
          <w:rStyle w:val="Hyperlink"/>
          <w:u w:val="none"/>
        </w:rPr>
        <w:t>.</w:t>
      </w:r>
      <w:r w:rsidRPr="00123DE3">
        <w:t xml:space="preserve"> </w:t>
      </w:r>
    </w:p>
  </w:footnote>
  <w:footnote w:id="44">
    <w:p w:rsidR="00123DE3" w:rsidRPr="00123DE3" w:rsidRDefault="00123DE3" w:rsidP="00123DE3">
      <w:pPr>
        <w:pStyle w:val="FootnoteText"/>
        <w:ind w:left="284" w:hanging="284"/>
      </w:pPr>
      <w:r w:rsidRPr="00123DE3">
        <w:rPr>
          <w:rStyle w:val="FootnoteReference"/>
        </w:rPr>
        <w:footnoteRef/>
      </w:r>
      <w:r w:rsidRPr="00123DE3">
        <w:t xml:space="preserve"> </w:t>
      </w:r>
      <w:r w:rsidR="00472DAE">
        <w:tab/>
      </w:r>
      <w:r w:rsidRPr="00123DE3">
        <w:t xml:space="preserve">E.C. </w:t>
      </w:r>
      <w:r w:rsidRPr="00123DE3">
        <w:rPr>
          <w:i/>
        </w:rPr>
        <w:t>A New Start for Jobs and Growth in Greece</w:t>
      </w:r>
      <w:r w:rsidRPr="00123DE3">
        <w:t xml:space="preserve"> Brussels, 15.7.2015 </w:t>
      </w:r>
      <w:proofErr w:type="gramStart"/>
      <w:r w:rsidRPr="00123DE3">
        <w:t>COM(</w:t>
      </w:r>
      <w:proofErr w:type="gramEnd"/>
      <w:r w:rsidRPr="00123DE3">
        <w:t>2015) 400 final</w:t>
      </w:r>
      <w:r w:rsidR="00AE358C">
        <w:t>.</w:t>
      </w:r>
    </w:p>
  </w:footnote>
  <w:footnote w:id="45">
    <w:p w:rsidR="00123DE3" w:rsidRPr="00AE358C" w:rsidRDefault="00123DE3" w:rsidP="00123DE3">
      <w:pPr>
        <w:pStyle w:val="FootnoteText"/>
        <w:ind w:left="284" w:hanging="284"/>
      </w:pPr>
      <w:r w:rsidRPr="00123DE3">
        <w:rPr>
          <w:rStyle w:val="FootnoteReference"/>
        </w:rPr>
        <w:footnoteRef/>
      </w:r>
      <w:r w:rsidRPr="00123DE3">
        <w:t xml:space="preserve"> </w:t>
      </w:r>
      <w:r w:rsidR="00472DAE">
        <w:tab/>
      </w:r>
      <w:r w:rsidRPr="00123DE3">
        <w:t xml:space="preserve">Law 4186/2013 </w:t>
      </w:r>
      <w:r w:rsidRPr="00123DE3">
        <w:rPr>
          <w:i/>
        </w:rPr>
        <w:t>Reform of Secondary Education</w:t>
      </w:r>
      <w:r w:rsidRPr="00123DE3">
        <w:t xml:space="preserve"> </w:t>
      </w:r>
      <w:hyperlink r:id="rId28" w:history="1">
        <w:r w:rsidRPr="00123DE3">
          <w:rPr>
            <w:rStyle w:val="Hyperlink"/>
          </w:rPr>
          <w:t>http://edu.klimaka.gr/nomothesia/fek/2204-fek-193-2013-n4186-anadiarthrwsh-devterobathmias-ekpaidevshs.html</w:t>
        </w:r>
      </w:hyperlink>
      <w:r w:rsidR="00AE358C">
        <w:rPr>
          <w:rStyle w:val="Hyperlink"/>
          <w:u w:val="none"/>
        </w:rPr>
        <w:t>.</w:t>
      </w:r>
    </w:p>
  </w:footnote>
  <w:footnote w:id="46">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472DAE">
        <w:tab/>
      </w:r>
      <w:r w:rsidRPr="00123DE3">
        <w:t>Public and Private Vocational training Schools for people over 18 years old.</w:t>
      </w:r>
    </w:p>
  </w:footnote>
  <w:footnote w:id="47">
    <w:p w:rsidR="00123DE3" w:rsidRPr="00123DE3" w:rsidRDefault="00123DE3" w:rsidP="00123DE3">
      <w:pPr>
        <w:pStyle w:val="FootnoteText"/>
        <w:ind w:left="284" w:hanging="284"/>
      </w:pPr>
      <w:r w:rsidRPr="00123DE3">
        <w:rPr>
          <w:rStyle w:val="FootnoteReference"/>
        </w:rPr>
        <w:footnoteRef/>
      </w:r>
      <w:r w:rsidRPr="00123DE3">
        <w:t xml:space="preserve"> </w:t>
      </w:r>
      <w:r w:rsidR="00492F84">
        <w:tab/>
      </w:r>
      <w:r w:rsidRPr="00123DE3">
        <w:rPr>
          <w:lang w:val="en-US"/>
        </w:rPr>
        <w:t xml:space="preserve">General Secretariat of EU and other funds (April 2014) Consultation day for the Operational Program “Human Resources Development, Education and Lifelong Learning 2014-2020” </w:t>
      </w:r>
      <w:hyperlink r:id="rId29" w:history="1">
        <w:r w:rsidRPr="00123DE3">
          <w:rPr>
            <w:rStyle w:val="Hyperlink"/>
          </w:rPr>
          <w:t>http://www.esfhellas.gr/el/Pages/NewsFS.aspx?item=117</w:t>
        </w:r>
      </w:hyperlink>
      <w:r w:rsidR="00AE358C">
        <w:rPr>
          <w:rStyle w:val="Hyperlink"/>
          <w:u w:val="none"/>
        </w:rPr>
        <w:t>.</w:t>
      </w:r>
      <w:r w:rsidRPr="00123DE3">
        <w:t xml:space="preserve"> </w:t>
      </w:r>
    </w:p>
  </w:footnote>
  <w:footnote w:id="48">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492F84">
        <w:tab/>
      </w:r>
      <w:r w:rsidRPr="00123DE3">
        <w:rPr>
          <w:lang w:val="en-US"/>
        </w:rPr>
        <w:t xml:space="preserve">General Secretariat of EU and other funds (December 2013) Thematic Workshop “Promoting social Inclusion and Combating Poverty in the period 2014-2020” available at </w:t>
      </w:r>
      <w:hyperlink r:id="rId30" w:history="1">
        <w:r w:rsidRPr="00123DE3">
          <w:rPr>
            <w:rStyle w:val="Hyperlink"/>
            <w:lang w:val="en-US"/>
          </w:rPr>
          <w:t>http://www.esfhellas.gr/el/Pages/NewsFS.aspx?item=98</w:t>
        </w:r>
      </w:hyperlink>
      <w:r w:rsidR="00AE358C">
        <w:rPr>
          <w:rStyle w:val="Hyperlink"/>
          <w:u w:val="none"/>
          <w:lang w:val="en-US"/>
        </w:rPr>
        <w:t>.</w:t>
      </w:r>
      <w:r w:rsidRPr="00123DE3">
        <w:rPr>
          <w:lang w:val="en-US"/>
        </w:rPr>
        <w:t xml:space="preserve"> </w:t>
      </w:r>
    </w:p>
  </w:footnote>
  <w:footnote w:id="49">
    <w:p w:rsidR="00123DE3" w:rsidRPr="00123DE3" w:rsidRDefault="00123DE3" w:rsidP="00123DE3">
      <w:pPr>
        <w:pStyle w:val="FootnoteText"/>
        <w:ind w:left="284" w:hanging="284"/>
      </w:pPr>
      <w:r w:rsidRPr="00123DE3">
        <w:rPr>
          <w:rStyle w:val="FootnoteReference"/>
        </w:rPr>
        <w:footnoteRef/>
      </w:r>
      <w:r w:rsidRPr="00123DE3">
        <w:t xml:space="preserve"> </w:t>
      </w:r>
      <w:r w:rsidR="00492F84">
        <w:tab/>
      </w:r>
      <w:r w:rsidRPr="00123DE3">
        <w:rPr>
          <w:lang w:val="en-US"/>
        </w:rPr>
        <w:t xml:space="preserve">General Secretariat of EU and other funds (December 2013) Thematic Workshop “Promoting social Inclusion and Combating Poverty in the period 2014-2020” available at </w:t>
      </w:r>
      <w:hyperlink r:id="rId31" w:history="1">
        <w:r w:rsidRPr="00123DE3">
          <w:rPr>
            <w:rStyle w:val="Hyperlink"/>
            <w:lang w:val="en-US"/>
          </w:rPr>
          <w:t>http://www.esfhellas.gr/el/Pages/NewsFS.aspx?item=98</w:t>
        </w:r>
      </w:hyperlink>
      <w:r w:rsidRPr="00123DE3">
        <w:rPr>
          <w:rStyle w:val="Hyperlink"/>
          <w:lang w:val="en-US"/>
        </w:rPr>
        <w:t>.</w:t>
      </w:r>
    </w:p>
  </w:footnote>
  <w:footnote w:id="50">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EB1E95">
        <w:tab/>
      </w:r>
      <w:r w:rsidRPr="00123DE3">
        <w:t xml:space="preserve">NCDP Press Release 4212/22-10-2014 </w:t>
      </w:r>
      <w:proofErr w:type="gramStart"/>
      <w:r w:rsidRPr="00123DE3">
        <w:t>The</w:t>
      </w:r>
      <w:proofErr w:type="gramEnd"/>
      <w:r w:rsidRPr="00123DE3">
        <w:t xml:space="preserve"> recommendations of the disability movement to the regional operational programs in Attica, Western Greece, Eastern Macedonia and Thrace.  </w:t>
      </w:r>
      <w:hyperlink r:id="rId32" w:history="1">
        <w:r w:rsidRPr="00123DE3">
          <w:rPr>
            <w:rStyle w:val="Hyperlink"/>
          </w:rPr>
          <w:t>http://www.esamea.gr/pressoffice/press-releases/1180-oi-protaseis-toy-anapirikoy-kinimatos-sta-perifereiaka-epixeirisiaka-programmata-attiki-d-ellada-an-makedonia-thraki</w:t>
        </w:r>
      </w:hyperlink>
      <w:r w:rsidRPr="00123DE3">
        <w:rPr>
          <w:rStyle w:val="Hyperlink"/>
        </w:rPr>
        <w:t>.</w:t>
      </w:r>
      <w:r w:rsidRPr="00123DE3">
        <w:t xml:space="preserve"> </w:t>
      </w:r>
    </w:p>
  </w:footnote>
  <w:footnote w:id="51">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EB1E95">
        <w:tab/>
      </w:r>
      <w:r w:rsidRPr="00123DE3">
        <w:t xml:space="preserve">Press Release 4212/22-10-2014 </w:t>
      </w:r>
      <w:proofErr w:type="gramStart"/>
      <w:r w:rsidRPr="00123DE3">
        <w:t>The</w:t>
      </w:r>
      <w:proofErr w:type="gramEnd"/>
      <w:r w:rsidRPr="00123DE3">
        <w:t xml:space="preserve"> recommendations of the disability movement to the regional operational programs in Attica, Western Greece, Eastern Macedonia and Thrace.  </w:t>
      </w:r>
      <w:hyperlink r:id="rId33" w:history="1">
        <w:r w:rsidRPr="00123DE3">
          <w:rPr>
            <w:rStyle w:val="Hyperlink"/>
          </w:rPr>
          <w:t>http://www.esamea.gr/pressoffice/press-releases/1180-oi-protaseis-toy-anapirikoy-kinimatos-sta-perifereiaka-epixeirisiaka-programmata-attiki-d-ellada-an-makedonia-thraki</w:t>
        </w:r>
      </w:hyperlink>
      <w:r w:rsidRPr="00123DE3">
        <w:t>.</w:t>
      </w:r>
    </w:p>
  </w:footnote>
  <w:footnote w:id="52">
    <w:p w:rsidR="00123DE3" w:rsidRPr="00123DE3" w:rsidRDefault="00123DE3" w:rsidP="00123DE3">
      <w:pPr>
        <w:pStyle w:val="FootnoteText"/>
        <w:ind w:left="284" w:hanging="284"/>
        <w:rPr>
          <w:lang w:val="en-US"/>
        </w:rPr>
      </w:pPr>
      <w:r w:rsidRPr="00123DE3">
        <w:rPr>
          <w:rStyle w:val="FootnoteReference"/>
        </w:rPr>
        <w:footnoteRef/>
      </w:r>
      <w:r w:rsidRPr="00123DE3">
        <w:t xml:space="preserve"> </w:t>
      </w:r>
      <w:r w:rsidR="00EB1E95">
        <w:tab/>
      </w:r>
      <w:r w:rsidRPr="00123DE3">
        <w:t xml:space="preserve">A set of specific actions are put forward by the disability </w:t>
      </w:r>
      <w:r w:rsidRPr="00123DE3">
        <w:rPr>
          <w:lang w:val="en-US"/>
        </w:rPr>
        <w:t>activist group “Zero Tolerance” (</w:t>
      </w:r>
      <w:r w:rsidRPr="00123DE3">
        <w:t>https://www.facebook.com/mideniki.anoxi/</w:t>
      </w:r>
      <w:r w:rsidRPr="00123DE3">
        <w:rPr>
          <w:lang w:val="en-US"/>
        </w:rPr>
        <w:t xml:space="preserve">) which led </w:t>
      </w:r>
      <w:proofErr w:type="spellStart"/>
      <w:r w:rsidRPr="00123DE3">
        <w:rPr>
          <w:lang w:val="en-US"/>
        </w:rPr>
        <w:t>mobilisation</w:t>
      </w:r>
      <w:proofErr w:type="spellEnd"/>
      <w:r w:rsidRPr="00123DE3">
        <w:rPr>
          <w:lang w:val="en-US"/>
        </w:rPr>
        <w:t xml:space="preserve"> on the issue of de-</w:t>
      </w:r>
      <w:proofErr w:type="spellStart"/>
      <w:r w:rsidRPr="00123DE3">
        <w:rPr>
          <w:lang w:val="en-US"/>
        </w:rPr>
        <w:t>institutionalisation</w:t>
      </w:r>
      <w:proofErr w:type="spellEnd"/>
      <w:r w:rsidRPr="00123DE3">
        <w:rPr>
          <w:lang w:val="en-US"/>
        </w:rPr>
        <w:t xml:space="preserve"> on 4</w:t>
      </w:r>
      <w:r w:rsidRPr="00123DE3">
        <w:rPr>
          <w:vertAlign w:val="superscript"/>
          <w:lang w:val="en-US"/>
        </w:rPr>
        <w:t>th</w:t>
      </w:r>
      <w:r w:rsidRPr="00123DE3">
        <w:rPr>
          <w:lang w:val="en-US"/>
        </w:rPr>
        <w:t xml:space="preserve"> November 2015 initially by a 4 - day symbolic occupation at the institution of </w:t>
      </w:r>
      <w:proofErr w:type="spellStart"/>
      <w:r w:rsidRPr="00123DE3">
        <w:rPr>
          <w:lang w:val="en-US"/>
        </w:rPr>
        <w:t>Lechaina</w:t>
      </w:r>
      <w:proofErr w:type="spellEnd"/>
      <w:r w:rsidRPr="00123DE3">
        <w:rPr>
          <w:lang w:val="en-US"/>
        </w:rPr>
        <w:t xml:space="preserve">, demanding immediate government intervention for improving the living conditions of disabled children and adults living there and abolishment of </w:t>
      </w:r>
      <w:proofErr w:type="spellStart"/>
      <w:r w:rsidRPr="00123DE3">
        <w:rPr>
          <w:lang w:val="en-US"/>
        </w:rPr>
        <w:t>institutionalised</w:t>
      </w:r>
      <w:proofErr w:type="spellEnd"/>
      <w:r w:rsidRPr="00123DE3">
        <w:rPr>
          <w:lang w:val="en-US"/>
        </w:rPr>
        <w:t xml:space="preserve">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E3" w:rsidRDefault="00123DE3" w:rsidP="00AF323E">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1041400</wp:posOffset>
              </wp:positionH>
              <wp:positionV relativeFrom="paragraph">
                <wp:posOffset>222250</wp:posOffset>
              </wp:positionV>
              <wp:extent cx="447040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DE3" w:rsidRPr="00ED6A68" w:rsidRDefault="00123DE3" w:rsidP="00AF323E">
                          <w:pPr>
                            <w:jc w:val="right"/>
                            <w:rPr>
                              <w:sz w:val="16"/>
                              <w:szCs w:val="16"/>
                            </w:rPr>
                          </w:pPr>
                          <w:r w:rsidRPr="00F46384">
                            <w:rPr>
                              <w:sz w:val="16"/>
                              <w:lang w:eastAsia="fr-FR"/>
                            </w:rPr>
                            <w:t>European Semester 2015/2016 country fiche on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2pt;margin-top:17.5pt;width:35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Zxt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yFGAnaQY/u2WjQjRwRXEF9hl6n4HbXg6MZ4R767Ljq/laW3zQSctVQsWXXSsmhYbSC/NxL/+zp&#10;hKMtyGb4KCuIQ3dGOqCxVp0tHpQDATr06eHUG5tLCZeELAISgKkEWxTFc9hDcj5Nj697pc17Jjtk&#10;NxlW0HuHTve32kyuRxcbTMiCt63rfyueXQDmdAOx4am12SxcOx+TIFnH65h4JJqvPRLkuXddrIg3&#10;L8LFLH+Xr1Z5+NPGDUna8KpiwoY5Siskf9a6g8gnUZzEpWXLKwtnU9Jqu1m1Cu0pSLtw36EgZ27+&#10;8zRcvYDLC0phRIKbKPGKebzwSEFmXrIIYi8Ik5tkHpCE5MVzSrdcsH+nhIYMJ7NoNonpt9wC973m&#10;RtOOGxgeLe8yHJ+caGoluBaVa62hvJ32Z6Ww6T+VAtp9bLQTrNXopFYzbkZAsSreyOoBpKskKAtE&#10;CBMPNo1UPzAaYHpkWH/fUcUwaj8IkH8SEmLHjTuQ2SKCgzq3bM4tVJQAlWGD0bRdmWlE7XrFtw1E&#10;mn44Ia/hl6m5U/NTVkDFHmBCOFKHaWZH0PnZeT3N3OUvAAAA//8DAFBLAwQUAAYACAAAACEATRe0&#10;kt0AAAAJAQAADwAAAGRycy9kb3ducmV2LnhtbEyPT0/DMAzF70h8h8hI3Fgy2EopTScE4gpi/JG4&#10;eY3XVjRO1WRr+faYE5zsJz89/165mX2vjjTGLrCF5cKAIq6D67ix8Pb6eJGDignZYR+YLHxThE11&#10;elJi4cLEL3TcpkZJCMcCLbQpDYXWsW7JY1yEgVhu+zB6TCLHRrsRJwn3vb40JtMeO5YPLQ5031L9&#10;tT14C+9P+8+PlXluHvx6mMJsNPsbbe352Xx3CyrRnP7M8Isv6FAJ0y4c2EXVi85W0iVZuFrLFEOe&#10;5bLsLFwvDeiq1P8bVD8AAAD//wMAUEsBAi0AFAAGAAgAAAAhALaDOJL+AAAA4QEAABMAAAAAAAAA&#10;AAAAAAAAAAAAAFtDb250ZW50X1R5cGVzXS54bWxQSwECLQAUAAYACAAAACEAOP0h/9YAAACUAQAA&#10;CwAAAAAAAAAAAAAAAAAvAQAAX3JlbHMvLnJlbHNQSwECLQAUAAYACAAAACEAaSFWcbQCAAC7BQAA&#10;DgAAAAAAAAAAAAAAAAAuAgAAZHJzL2Uyb0RvYy54bWxQSwECLQAUAAYACAAAACEATRe0kt0AAAAJ&#10;AQAADwAAAAAAAAAAAAAAAAAOBQAAZHJzL2Rvd25yZXYueG1sUEsFBgAAAAAEAAQA8wAAABgGAAAA&#10;AA==&#10;" filled="f" stroked="f">
              <v:textbox>
                <w:txbxContent>
                  <w:p w:rsidR="00123DE3" w:rsidRPr="00ED6A68" w:rsidRDefault="00123DE3" w:rsidP="00AF323E">
                    <w:pPr>
                      <w:jc w:val="right"/>
                      <w:rPr>
                        <w:sz w:val="16"/>
                        <w:szCs w:val="16"/>
                      </w:rPr>
                    </w:pPr>
                    <w:r w:rsidRPr="00F46384">
                      <w:rPr>
                        <w:sz w:val="16"/>
                        <w:lang w:eastAsia="fr-FR"/>
                      </w:rPr>
                      <w:t>European Semester 2015/2016 country fiche on disability</w:t>
                    </w:r>
                  </w:p>
                </w:txbxContent>
              </v:textbox>
            </v:shap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5207000</wp:posOffset>
          </wp:positionH>
          <wp:positionV relativeFrom="paragraph">
            <wp:posOffset>-62865</wp:posOffset>
          </wp:positionV>
          <wp:extent cx="509270" cy="509270"/>
          <wp:effectExtent l="0" t="0" r="5080" b="5080"/>
          <wp:wrapThrough wrapText="bothSides">
            <wp:wrapPolygon edited="0">
              <wp:start x="0" y="0"/>
              <wp:lineTo x="0" y="21007"/>
              <wp:lineTo x="21007" y="21007"/>
              <wp:lineTo x="210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977A8"/>
    <w:multiLevelType w:val="hybridMultilevel"/>
    <w:tmpl w:val="8168E43E"/>
    <w:lvl w:ilvl="0" w:tplc="95B83EB2">
      <w:start w:val="1"/>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054547"/>
    <w:multiLevelType w:val="hybridMultilevel"/>
    <w:tmpl w:val="8C7E43EA"/>
    <w:lvl w:ilvl="0" w:tplc="431AB7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320AD5"/>
    <w:multiLevelType w:val="hybridMultilevel"/>
    <w:tmpl w:val="82A2E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BBC31D3"/>
    <w:multiLevelType w:val="hybridMultilevel"/>
    <w:tmpl w:val="FF0E81B0"/>
    <w:lvl w:ilvl="0" w:tplc="EE8C2C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1756CC"/>
    <w:multiLevelType w:val="hybridMultilevel"/>
    <w:tmpl w:val="E32E16E8"/>
    <w:lvl w:ilvl="0" w:tplc="67C8D1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E77840"/>
    <w:multiLevelType w:val="multilevel"/>
    <w:tmpl w:val="83D857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4B00D66"/>
    <w:multiLevelType w:val="hybridMultilevel"/>
    <w:tmpl w:val="7B9236B2"/>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0">
    <w:nsid w:val="3B060CA0"/>
    <w:multiLevelType w:val="hybridMultilevel"/>
    <w:tmpl w:val="180E556C"/>
    <w:lvl w:ilvl="0" w:tplc="B5A866B8">
      <w:start w:val="15"/>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1A4619"/>
    <w:multiLevelType w:val="multilevel"/>
    <w:tmpl w:val="3092DC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DA29EF"/>
    <w:multiLevelType w:val="hybridMultilevel"/>
    <w:tmpl w:val="C93CB2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DD38C5"/>
    <w:multiLevelType w:val="hybridMultilevel"/>
    <w:tmpl w:val="2F202AEC"/>
    <w:lvl w:ilvl="0" w:tplc="16F658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E0B94"/>
    <w:multiLevelType w:val="multilevel"/>
    <w:tmpl w:val="12E42466"/>
    <w:numStyleLink w:val="Style1"/>
  </w:abstractNum>
  <w:abstractNum w:abstractNumId="28">
    <w:nsid w:val="658620B9"/>
    <w:multiLevelType w:val="hybridMultilevel"/>
    <w:tmpl w:val="0BA28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535811"/>
    <w:multiLevelType w:val="hybridMultilevel"/>
    <w:tmpl w:val="5066D8BC"/>
    <w:lvl w:ilvl="0" w:tplc="F402B4F2">
      <w:start w:val="1"/>
      <w:numFmt w:val="bullet"/>
      <w:lvlText w:val="-"/>
      <w:lvlJc w:val="left"/>
      <w:pPr>
        <w:ind w:left="720" w:hanging="360"/>
      </w:pPr>
      <w:rPr>
        <w:rFonts w:ascii="Arial" w:eastAsiaTheme="minorHAnsi" w:hAnsi="Arial" w:cs="Arial" w:hint="default"/>
        <w:b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013840"/>
    <w:multiLevelType w:val="hybridMultilevel"/>
    <w:tmpl w:val="F74A9610"/>
    <w:lvl w:ilvl="0" w:tplc="B5A866B8">
      <w:start w:val="15"/>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75F4638"/>
    <w:multiLevelType w:val="hybridMultilevel"/>
    <w:tmpl w:val="27541B8E"/>
    <w:lvl w:ilvl="0" w:tplc="32DA3240">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31"/>
  </w:num>
  <w:num w:numId="13">
    <w:abstractNumId w:val="24"/>
  </w:num>
  <w:num w:numId="14">
    <w:abstractNumId w:val="33"/>
  </w:num>
  <w:num w:numId="15">
    <w:abstractNumId w:val="11"/>
  </w:num>
  <w:num w:numId="16">
    <w:abstractNumId w:val="15"/>
  </w:num>
  <w:num w:numId="17">
    <w:abstractNumId w:val="21"/>
  </w:num>
  <w:num w:numId="18">
    <w:abstractNumId w:val="17"/>
  </w:num>
  <w:num w:numId="19">
    <w:abstractNumId w:val="23"/>
  </w:num>
  <w:num w:numId="20">
    <w:abstractNumId w:val="22"/>
  </w:num>
  <w:num w:numId="21">
    <w:abstractNumId w:val="16"/>
  </w:num>
  <w:num w:numId="22">
    <w:abstractNumId w:val="26"/>
  </w:num>
  <w:num w:numId="23">
    <w:abstractNumId w:val="14"/>
  </w:num>
  <w:num w:numId="24">
    <w:abstractNumId w:val="12"/>
  </w:num>
  <w:num w:numId="25">
    <w:abstractNumId w:val="13"/>
  </w:num>
  <w:num w:numId="26">
    <w:abstractNumId w:val="30"/>
  </w:num>
  <w:num w:numId="27">
    <w:abstractNumId w:val="10"/>
  </w:num>
  <w:num w:numId="28">
    <w:abstractNumId w:val="19"/>
  </w:num>
  <w:num w:numId="29">
    <w:abstractNumId w:val="29"/>
  </w:num>
  <w:num w:numId="30">
    <w:abstractNumId w:val="25"/>
  </w:num>
  <w:num w:numId="31">
    <w:abstractNumId w:val="28"/>
  </w:num>
  <w:num w:numId="32">
    <w:abstractNumId w:val="20"/>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1"/>
    <w:rsid w:val="000018F3"/>
    <w:rsid w:val="0000296C"/>
    <w:rsid w:val="0000422A"/>
    <w:rsid w:val="0001374E"/>
    <w:rsid w:val="000159A6"/>
    <w:rsid w:val="000229A7"/>
    <w:rsid w:val="00030779"/>
    <w:rsid w:val="00030912"/>
    <w:rsid w:val="000336BD"/>
    <w:rsid w:val="00040141"/>
    <w:rsid w:val="0004167C"/>
    <w:rsid w:val="00044994"/>
    <w:rsid w:val="00044E73"/>
    <w:rsid w:val="000467DB"/>
    <w:rsid w:val="00053B42"/>
    <w:rsid w:val="0005498D"/>
    <w:rsid w:val="00066A6E"/>
    <w:rsid w:val="00067720"/>
    <w:rsid w:val="00067896"/>
    <w:rsid w:val="000713FF"/>
    <w:rsid w:val="00072497"/>
    <w:rsid w:val="00072A46"/>
    <w:rsid w:val="00072A89"/>
    <w:rsid w:val="00074385"/>
    <w:rsid w:val="0007541E"/>
    <w:rsid w:val="00075531"/>
    <w:rsid w:val="00082E6D"/>
    <w:rsid w:val="00084743"/>
    <w:rsid w:val="00084AB1"/>
    <w:rsid w:val="0008682C"/>
    <w:rsid w:val="0009265B"/>
    <w:rsid w:val="00092B8F"/>
    <w:rsid w:val="00094EF9"/>
    <w:rsid w:val="000959AA"/>
    <w:rsid w:val="00097525"/>
    <w:rsid w:val="000A2913"/>
    <w:rsid w:val="000A395C"/>
    <w:rsid w:val="000B1AC2"/>
    <w:rsid w:val="000B2D92"/>
    <w:rsid w:val="000B2E78"/>
    <w:rsid w:val="000C4AE6"/>
    <w:rsid w:val="000D2C6D"/>
    <w:rsid w:val="000D320A"/>
    <w:rsid w:val="000E016C"/>
    <w:rsid w:val="000E4FDC"/>
    <w:rsid w:val="000E59E4"/>
    <w:rsid w:val="000E5AD1"/>
    <w:rsid w:val="000E6C47"/>
    <w:rsid w:val="000E71BE"/>
    <w:rsid w:val="000E7982"/>
    <w:rsid w:val="000F5E46"/>
    <w:rsid w:val="000F657B"/>
    <w:rsid w:val="00100CCC"/>
    <w:rsid w:val="00100FAD"/>
    <w:rsid w:val="0010423F"/>
    <w:rsid w:val="001115CC"/>
    <w:rsid w:val="00111BDD"/>
    <w:rsid w:val="00117547"/>
    <w:rsid w:val="00123DE3"/>
    <w:rsid w:val="0013138F"/>
    <w:rsid w:val="001317CA"/>
    <w:rsid w:val="0013277C"/>
    <w:rsid w:val="001335A3"/>
    <w:rsid w:val="001341CA"/>
    <w:rsid w:val="0013469B"/>
    <w:rsid w:val="00141174"/>
    <w:rsid w:val="00143C99"/>
    <w:rsid w:val="001453DB"/>
    <w:rsid w:val="00146B02"/>
    <w:rsid w:val="00152FE0"/>
    <w:rsid w:val="00153FFB"/>
    <w:rsid w:val="0015419C"/>
    <w:rsid w:val="001578C0"/>
    <w:rsid w:val="001601AB"/>
    <w:rsid w:val="001602BF"/>
    <w:rsid w:val="00161004"/>
    <w:rsid w:val="00167C77"/>
    <w:rsid w:val="00170BED"/>
    <w:rsid w:val="0017160D"/>
    <w:rsid w:val="00172075"/>
    <w:rsid w:val="00172F55"/>
    <w:rsid w:val="001828CD"/>
    <w:rsid w:val="00183BDA"/>
    <w:rsid w:val="00184494"/>
    <w:rsid w:val="00184A66"/>
    <w:rsid w:val="00185B6D"/>
    <w:rsid w:val="001907CC"/>
    <w:rsid w:val="00192A33"/>
    <w:rsid w:val="0019365D"/>
    <w:rsid w:val="00197D27"/>
    <w:rsid w:val="001A23EE"/>
    <w:rsid w:val="001A3A12"/>
    <w:rsid w:val="001A783D"/>
    <w:rsid w:val="001B13C3"/>
    <w:rsid w:val="001B2CEA"/>
    <w:rsid w:val="001B6DBE"/>
    <w:rsid w:val="001B7B12"/>
    <w:rsid w:val="001C0540"/>
    <w:rsid w:val="001C10EE"/>
    <w:rsid w:val="001C1367"/>
    <w:rsid w:val="001C2F45"/>
    <w:rsid w:val="001C5890"/>
    <w:rsid w:val="001C615C"/>
    <w:rsid w:val="001D2AA2"/>
    <w:rsid w:val="001D4FB5"/>
    <w:rsid w:val="001E1C6F"/>
    <w:rsid w:val="001E4166"/>
    <w:rsid w:val="001E43E2"/>
    <w:rsid w:val="001E5187"/>
    <w:rsid w:val="001E52D1"/>
    <w:rsid w:val="001E6484"/>
    <w:rsid w:val="001E727F"/>
    <w:rsid w:val="001F035A"/>
    <w:rsid w:val="001F4A20"/>
    <w:rsid w:val="001F52C4"/>
    <w:rsid w:val="001F681D"/>
    <w:rsid w:val="001F6880"/>
    <w:rsid w:val="001F6CDE"/>
    <w:rsid w:val="00201188"/>
    <w:rsid w:val="00202835"/>
    <w:rsid w:val="00206BED"/>
    <w:rsid w:val="00211259"/>
    <w:rsid w:val="00215524"/>
    <w:rsid w:val="00220AB8"/>
    <w:rsid w:val="00222716"/>
    <w:rsid w:val="002309E1"/>
    <w:rsid w:val="0023651D"/>
    <w:rsid w:val="00240F4A"/>
    <w:rsid w:val="00241840"/>
    <w:rsid w:val="00243C02"/>
    <w:rsid w:val="002469C0"/>
    <w:rsid w:val="00247433"/>
    <w:rsid w:val="002539AE"/>
    <w:rsid w:val="00264D00"/>
    <w:rsid w:val="00266EC3"/>
    <w:rsid w:val="00273123"/>
    <w:rsid w:val="00273ED7"/>
    <w:rsid w:val="00274ADA"/>
    <w:rsid w:val="00275E01"/>
    <w:rsid w:val="00280212"/>
    <w:rsid w:val="00282F2C"/>
    <w:rsid w:val="0028350A"/>
    <w:rsid w:val="00285174"/>
    <w:rsid w:val="00287E15"/>
    <w:rsid w:val="002920BC"/>
    <w:rsid w:val="00293312"/>
    <w:rsid w:val="00295037"/>
    <w:rsid w:val="00297303"/>
    <w:rsid w:val="002A0716"/>
    <w:rsid w:val="002A237B"/>
    <w:rsid w:val="002A6F1E"/>
    <w:rsid w:val="002A7F69"/>
    <w:rsid w:val="002B12F0"/>
    <w:rsid w:val="002B402D"/>
    <w:rsid w:val="002B7B89"/>
    <w:rsid w:val="002C505C"/>
    <w:rsid w:val="002D0891"/>
    <w:rsid w:val="002E1C97"/>
    <w:rsid w:val="002E269E"/>
    <w:rsid w:val="002E420B"/>
    <w:rsid w:val="002F0773"/>
    <w:rsid w:val="00302832"/>
    <w:rsid w:val="00305D47"/>
    <w:rsid w:val="00306F9C"/>
    <w:rsid w:val="00310309"/>
    <w:rsid w:val="00312033"/>
    <w:rsid w:val="0031453D"/>
    <w:rsid w:val="0032347A"/>
    <w:rsid w:val="0032440F"/>
    <w:rsid w:val="00324689"/>
    <w:rsid w:val="00326E6B"/>
    <w:rsid w:val="00327448"/>
    <w:rsid w:val="00330467"/>
    <w:rsid w:val="00331438"/>
    <w:rsid w:val="003325AC"/>
    <w:rsid w:val="00336F8A"/>
    <w:rsid w:val="003400F1"/>
    <w:rsid w:val="00345980"/>
    <w:rsid w:val="003461F3"/>
    <w:rsid w:val="00346FC5"/>
    <w:rsid w:val="00350404"/>
    <w:rsid w:val="00351610"/>
    <w:rsid w:val="0035592F"/>
    <w:rsid w:val="00356394"/>
    <w:rsid w:val="00362177"/>
    <w:rsid w:val="00363BD8"/>
    <w:rsid w:val="00365193"/>
    <w:rsid w:val="00367337"/>
    <w:rsid w:val="00375373"/>
    <w:rsid w:val="00381161"/>
    <w:rsid w:val="003837D3"/>
    <w:rsid w:val="00385532"/>
    <w:rsid w:val="00391548"/>
    <w:rsid w:val="00392530"/>
    <w:rsid w:val="00396843"/>
    <w:rsid w:val="003A02DC"/>
    <w:rsid w:val="003A08B6"/>
    <w:rsid w:val="003A11B6"/>
    <w:rsid w:val="003A26EF"/>
    <w:rsid w:val="003A78E1"/>
    <w:rsid w:val="003B037B"/>
    <w:rsid w:val="003B057E"/>
    <w:rsid w:val="003B1107"/>
    <w:rsid w:val="003B422F"/>
    <w:rsid w:val="003C03FE"/>
    <w:rsid w:val="003D356C"/>
    <w:rsid w:val="003D706B"/>
    <w:rsid w:val="003D7AB4"/>
    <w:rsid w:val="003E3C7A"/>
    <w:rsid w:val="003E7EC1"/>
    <w:rsid w:val="003F4379"/>
    <w:rsid w:val="003F5534"/>
    <w:rsid w:val="004022FB"/>
    <w:rsid w:val="004115E9"/>
    <w:rsid w:val="00411BC6"/>
    <w:rsid w:val="00414789"/>
    <w:rsid w:val="00414FAE"/>
    <w:rsid w:val="00415058"/>
    <w:rsid w:val="00416060"/>
    <w:rsid w:val="00416AA0"/>
    <w:rsid w:val="00421E28"/>
    <w:rsid w:val="00423314"/>
    <w:rsid w:val="004268DD"/>
    <w:rsid w:val="0043020D"/>
    <w:rsid w:val="00441B0F"/>
    <w:rsid w:val="004426D7"/>
    <w:rsid w:val="004502CE"/>
    <w:rsid w:val="004515AA"/>
    <w:rsid w:val="004516D5"/>
    <w:rsid w:val="00451EC6"/>
    <w:rsid w:val="00463761"/>
    <w:rsid w:val="00463F06"/>
    <w:rsid w:val="004710E0"/>
    <w:rsid w:val="00471FC8"/>
    <w:rsid w:val="00472DAE"/>
    <w:rsid w:val="00476EF3"/>
    <w:rsid w:val="00477CF2"/>
    <w:rsid w:val="00480DCE"/>
    <w:rsid w:val="00481FFA"/>
    <w:rsid w:val="00484B6C"/>
    <w:rsid w:val="00487840"/>
    <w:rsid w:val="00491FB4"/>
    <w:rsid w:val="00492E94"/>
    <w:rsid w:val="00492F84"/>
    <w:rsid w:val="00493B7E"/>
    <w:rsid w:val="0049592A"/>
    <w:rsid w:val="00496B54"/>
    <w:rsid w:val="00497983"/>
    <w:rsid w:val="004A6119"/>
    <w:rsid w:val="004B05F4"/>
    <w:rsid w:val="004B08D5"/>
    <w:rsid w:val="004B55C3"/>
    <w:rsid w:val="004B59DF"/>
    <w:rsid w:val="004B7381"/>
    <w:rsid w:val="004C4895"/>
    <w:rsid w:val="004C4C38"/>
    <w:rsid w:val="004C7C48"/>
    <w:rsid w:val="004D01C6"/>
    <w:rsid w:val="004D0468"/>
    <w:rsid w:val="004D06E6"/>
    <w:rsid w:val="004D1504"/>
    <w:rsid w:val="004D7981"/>
    <w:rsid w:val="004E0FBC"/>
    <w:rsid w:val="004E35E1"/>
    <w:rsid w:val="004E4F0C"/>
    <w:rsid w:val="004E5CCD"/>
    <w:rsid w:val="004E6C0A"/>
    <w:rsid w:val="004E766B"/>
    <w:rsid w:val="004F2290"/>
    <w:rsid w:val="004F2F9A"/>
    <w:rsid w:val="004F3B55"/>
    <w:rsid w:val="004F42B7"/>
    <w:rsid w:val="005001E9"/>
    <w:rsid w:val="00501094"/>
    <w:rsid w:val="00503F97"/>
    <w:rsid w:val="005078E3"/>
    <w:rsid w:val="00510F62"/>
    <w:rsid w:val="005112DF"/>
    <w:rsid w:val="00512D65"/>
    <w:rsid w:val="00512FB4"/>
    <w:rsid w:val="0051343E"/>
    <w:rsid w:val="005223DF"/>
    <w:rsid w:val="00526839"/>
    <w:rsid w:val="00534847"/>
    <w:rsid w:val="00534975"/>
    <w:rsid w:val="00535AF7"/>
    <w:rsid w:val="00536A40"/>
    <w:rsid w:val="00543AAE"/>
    <w:rsid w:val="00543B5B"/>
    <w:rsid w:val="00544832"/>
    <w:rsid w:val="0054560C"/>
    <w:rsid w:val="00551303"/>
    <w:rsid w:val="00551CE5"/>
    <w:rsid w:val="005522D4"/>
    <w:rsid w:val="00554C7B"/>
    <w:rsid w:val="00557820"/>
    <w:rsid w:val="0056052E"/>
    <w:rsid w:val="00561FF5"/>
    <w:rsid w:val="0056264E"/>
    <w:rsid w:val="005651D3"/>
    <w:rsid w:val="005673D7"/>
    <w:rsid w:val="00575675"/>
    <w:rsid w:val="0057731B"/>
    <w:rsid w:val="005831C6"/>
    <w:rsid w:val="0058657E"/>
    <w:rsid w:val="00587D5D"/>
    <w:rsid w:val="0059415A"/>
    <w:rsid w:val="00597A6F"/>
    <w:rsid w:val="005A1155"/>
    <w:rsid w:val="005A2277"/>
    <w:rsid w:val="005A291A"/>
    <w:rsid w:val="005A3FC7"/>
    <w:rsid w:val="005B019B"/>
    <w:rsid w:val="005B0D14"/>
    <w:rsid w:val="005B0E11"/>
    <w:rsid w:val="005B2E9D"/>
    <w:rsid w:val="005B588C"/>
    <w:rsid w:val="005B784E"/>
    <w:rsid w:val="005C3A93"/>
    <w:rsid w:val="005C42A9"/>
    <w:rsid w:val="005C65DC"/>
    <w:rsid w:val="005C6DEA"/>
    <w:rsid w:val="005C75D8"/>
    <w:rsid w:val="005D2E05"/>
    <w:rsid w:val="005D3ECF"/>
    <w:rsid w:val="005E04CA"/>
    <w:rsid w:val="005E05EE"/>
    <w:rsid w:val="005E1963"/>
    <w:rsid w:val="005E1C80"/>
    <w:rsid w:val="005E2FE5"/>
    <w:rsid w:val="005E4BC1"/>
    <w:rsid w:val="005E4C81"/>
    <w:rsid w:val="005F0B12"/>
    <w:rsid w:val="005F4A51"/>
    <w:rsid w:val="005F5200"/>
    <w:rsid w:val="005F55C9"/>
    <w:rsid w:val="005F5E23"/>
    <w:rsid w:val="005F607D"/>
    <w:rsid w:val="00600832"/>
    <w:rsid w:val="00610DD2"/>
    <w:rsid w:val="00614354"/>
    <w:rsid w:val="00620231"/>
    <w:rsid w:val="00623BA9"/>
    <w:rsid w:val="00632E2E"/>
    <w:rsid w:val="006352D7"/>
    <w:rsid w:val="00636282"/>
    <w:rsid w:val="00636548"/>
    <w:rsid w:val="006422C8"/>
    <w:rsid w:val="0064269E"/>
    <w:rsid w:val="0064383B"/>
    <w:rsid w:val="00643FB0"/>
    <w:rsid w:val="00643FC9"/>
    <w:rsid w:val="00644224"/>
    <w:rsid w:val="00645F2A"/>
    <w:rsid w:val="006503F2"/>
    <w:rsid w:val="00652917"/>
    <w:rsid w:val="00652E9A"/>
    <w:rsid w:val="00653220"/>
    <w:rsid w:val="0065380E"/>
    <w:rsid w:val="00655EED"/>
    <w:rsid w:val="00656A54"/>
    <w:rsid w:val="00662589"/>
    <w:rsid w:val="0066278F"/>
    <w:rsid w:val="006643FD"/>
    <w:rsid w:val="00664EFF"/>
    <w:rsid w:val="00664F81"/>
    <w:rsid w:val="00680D45"/>
    <w:rsid w:val="006818A0"/>
    <w:rsid w:val="00681AC5"/>
    <w:rsid w:val="00692000"/>
    <w:rsid w:val="00692101"/>
    <w:rsid w:val="0069263C"/>
    <w:rsid w:val="00694F9D"/>
    <w:rsid w:val="00696576"/>
    <w:rsid w:val="006A3F91"/>
    <w:rsid w:val="006A7583"/>
    <w:rsid w:val="006A76F7"/>
    <w:rsid w:val="006B0C83"/>
    <w:rsid w:val="006B0D59"/>
    <w:rsid w:val="006B372C"/>
    <w:rsid w:val="006B403C"/>
    <w:rsid w:val="006B7206"/>
    <w:rsid w:val="006C2CDE"/>
    <w:rsid w:val="006C4539"/>
    <w:rsid w:val="006D37D9"/>
    <w:rsid w:val="006D3D56"/>
    <w:rsid w:val="006D3DBE"/>
    <w:rsid w:val="006D61F5"/>
    <w:rsid w:val="006F163E"/>
    <w:rsid w:val="006F5BD1"/>
    <w:rsid w:val="006F692E"/>
    <w:rsid w:val="0070061B"/>
    <w:rsid w:val="007038A9"/>
    <w:rsid w:val="0070417B"/>
    <w:rsid w:val="007048D2"/>
    <w:rsid w:val="00705AD4"/>
    <w:rsid w:val="00705DCB"/>
    <w:rsid w:val="007113C6"/>
    <w:rsid w:val="007131FC"/>
    <w:rsid w:val="0071606D"/>
    <w:rsid w:val="00720295"/>
    <w:rsid w:val="00722DE1"/>
    <w:rsid w:val="00726700"/>
    <w:rsid w:val="007317B0"/>
    <w:rsid w:val="007360E6"/>
    <w:rsid w:val="00737FDC"/>
    <w:rsid w:val="00742AEB"/>
    <w:rsid w:val="00751ACC"/>
    <w:rsid w:val="00755123"/>
    <w:rsid w:val="00755A21"/>
    <w:rsid w:val="00765F25"/>
    <w:rsid w:val="007668F7"/>
    <w:rsid w:val="00766A33"/>
    <w:rsid w:val="00767703"/>
    <w:rsid w:val="00767A48"/>
    <w:rsid w:val="007709C9"/>
    <w:rsid w:val="00777783"/>
    <w:rsid w:val="007804E3"/>
    <w:rsid w:val="00780579"/>
    <w:rsid w:val="007805B9"/>
    <w:rsid w:val="00780715"/>
    <w:rsid w:val="0079011A"/>
    <w:rsid w:val="007939D7"/>
    <w:rsid w:val="007A357E"/>
    <w:rsid w:val="007A6A53"/>
    <w:rsid w:val="007A6B3D"/>
    <w:rsid w:val="007A72D3"/>
    <w:rsid w:val="007A7CB6"/>
    <w:rsid w:val="007B3940"/>
    <w:rsid w:val="007B7886"/>
    <w:rsid w:val="007C2371"/>
    <w:rsid w:val="007C4269"/>
    <w:rsid w:val="007C708E"/>
    <w:rsid w:val="007D1B4C"/>
    <w:rsid w:val="007D61D7"/>
    <w:rsid w:val="007D6A67"/>
    <w:rsid w:val="007D6F19"/>
    <w:rsid w:val="007E1B9C"/>
    <w:rsid w:val="007E2B74"/>
    <w:rsid w:val="007E347E"/>
    <w:rsid w:val="007E3C8F"/>
    <w:rsid w:val="007F0BC0"/>
    <w:rsid w:val="007F267F"/>
    <w:rsid w:val="007F5FC0"/>
    <w:rsid w:val="007F6B2D"/>
    <w:rsid w:val="007F7808"/>
    <w:rsid w:val="008005D3"/>
    <w:rsid w:val="00800D3B"/>
    <w:rsid w:val="008011FC"/>
    <w:rsid w:val="00802EC9"/>
    <w:rsid w:val="00803568"/>
    <w:rsid w:val="00803621"/>
    <w:rsid w:val="00804F4F"/>
    <w:rsid w:val="008072EE"/>
    <w:rsid w:val="00821CA4"/>
    <w:rsid w:val="0082288F"/>
    <w:rsid w:val="008228DC"/>
    <w:rsid w:val="00823DF1"/>
    <w:rsid w:val="0083039E"/>
    <w:rsid w:val="00831141"/>
    <w:rsid w:val="008341F2"/>
    <w:rsid w:val="00834272"/>
    <w:rsid w:val="008345FA"/>
    <w:rsid w:val="00834713"/>
    <w:rsid w:val="008359CC"/>
    <w:rsid w:val="00837BCB"/>
    <w:rsid w:val="00841F7D"/>
    <w:rsid w:val="00846480"/>
    <w:rsid w:val="0085292D"/>
    <w:rsid w:val="008737F5"/>
    <w:rsid w:val="00873D7B"/>
    <w:rsid w:val="00873E8E"/>
    <w:rsid w:val="00880119"/>
    <w:rsid w:val="00882F91"/>
    <w:rsid w:val="00890E90"/>
    <w:rsid w:val="008A5A2B"/>
    <w:rsid w:val="008A5AB7"/>
    <w:rsid w:val="008A7053"/>
    <w:rsid w:val="008A7475"/>
    <w:rsid w:val="008B1FE6"/>
    <w:rsid w:val="008B262F"/>
    <w:rsid w:val="008C0532"/>
    <w:rsid w:val="008C4935"/>
    <w:rsid w:val="008C5D1E"/>
    <w:rsid w:val="008C75AE"/>
    <w:rsid w:val="008D2A5F"/>
    <w:rsid w:val="008D2EB3"/>
    <w:rsid w:val="008D465A"/>
    <w:rsid w:val="008D605F"/>
    <w:rsid w:val="008D6075"/>
    <w:rsid w:val="008D6FB8"/>
    <w:rsid w:val="008E4354"/>
    <w:rsid w:val="008F02BC"/>
    <w:rsid w:val="008F17BD"/>
    <w:rsid w:val="009020CC"/>
    <w:rsid w:val="009027F4"/>
    <w:rsid w:val="00903D3C"/>
    <w:rsid w:val="009067CC"/>
    <w:rsid w:val="0090711E"/>
    <w:rsid w:val="0091059B"/>
    <w:rsid w:val="0091060C"/>
    <w:rsid w:val="00911378"/>
    <w:rsid w:val="0091583E"/>
    <w:rsid w:val="00915E6B"/>
    <w:rsid w:val="00920C12"/>
    <w:rsid w:val="00922F76"/>
    <w:rsid w:val="0092637A"/>
    <w:rsid w:val="00926798"/>
    <w:rsid w:val="009277F3"/>
    <w:rsid w:val="00930117"/>
    <w:rsid w:val="00932952"/>
    <w:rsid w:val="009474DB"/>
    <w:rsid w:val="009501B4"/>
    <w:rsid w:val="00954831"/>
    <w:rsid w:val="00954863"/>
    <w:rsid w:val="00955618"/>
    <w:rsid w:val="00955830"/>
    <w:rsid w:val="00957F11"/>
    <w:rsid w:val="00970D60"/>
    <w:rsid w:val="00974DE9"/>
    <w:rsid w:val="00975F2D"/>
    <w:rsid w:val="009808E0"/>
    <w:rsid w:val="0098674F"/>
    <w:rsid w:val="00992122"/>
    <w:rsid w:val="0099432D"/>
    <w:rsid w:val="00995463"/>
    <w:rsid w:val="00996C5D"/>
    <w:rsid w:val="009971BB"/>
    <w:rsid w:val="0099724E"/>
    <w:rsid w:val="00997337"/>
    <w:rsid w:val="009A4021"/>
    <w:rsid w:val="009B257A"/>
    <w:rsid w:val="009B335F"/>
    <w:rsid w:val="009B35AF"/>
    <w:rsid w:val="009B40C1"/>
    <w:rsid w:val="009B480C"/>
    <w:rsid w:val="009B4EBC"/>
    <w:rsid w:val="009C0209"/>
    <w:rsid w:val="009C07FD"/>
    <w:rsid w:val="009C08BF"/>
    <w:rsid w:val="009C539B"/>
    <w:rsid w:val="009C7544"/>
    <w:rsid w:val="009D1D22"/>
    <w:rsid w:val="009D3E8B"/>
    <w:rsid w:val="009E30BC"/>
    <w:rsid w:val="009E3A17"/>
    <w:rsid w:val="009E4D16"/>
    <w:rsid w:val="009F1C55"/>
    <w:rsid w:val="009F1DF5"/>
    <w:rsid w:val="00A00AEC"/>
    <w:rsid w:val="00A01CD2"/>
    <w:rsid w:val="00A05EF2"/>
    <w:rsid w:val="00A1027D"/>
    <w:rsid w:val="00A110D0"/>
    <w:rsid w:val="00A119C6"/>
    <w:rsid w:val="00A14F67"/>
    <w:rsid w:val="00A17132"/>
    <w:rsid w:val="00A215C2"/>
    <w:rsid w:val="00A22193"/>
    <w:rsid w:val="00A23127"/>
    <w:rsid w:val="00A27061"/>
    <w:rsid w:val="00A27E6D"/>
    <w:rsid w:val="00A31725"/>
    <w:rsid w:val="00A36B30"/>
    <w:rsid w:val="00A36CF5"/>
    <w:rsid w:val="00A430A9"/>
    <w:rsid w:val="00A528D0"/>
    <w:rsid w:val="00A55B60"/>
    <w:rsid w:val="00A55D57"/>
    <w:rsid w:val="00A61ADF"/>
    <w:rsid w:val="00A6281D"/>
    <w:rsid w:val="00A63703"/>
    <w:rsid w:val="00A647D7"/>
    <w:rsid w:val="00A654C0"/>
    <w:rsid w:val="00A70A7E"/>
    <w:rsid w:val="00A71D65"/>
    <w:rsid w:val="00A73DF3"/>
    <w:rsid w:val="00A76C56"/>
    <w:rsid w:val="00A76F0D"/>
    <w:rsid w:val="00A80F45"/>
    <w:rsid w:val="00A844DB"/>
    <w:rsid w:val="00A90031"/>
    <w:rsid w:val="00A92183"/>
    <w:rsid w:val="00A927FF"/>
    <w:rsid w:val="00A93C35"/>
    <w:rsid w:val="00A943E8"/>
    <w:rsid w:val="00AA148F"/>
    <w:rsid w:val="00AA3F1C"/>
    <w:rsid w:val="00AA5912"/>
    <w:rsid w:val="00AA6745"/>
    <w:rsid w:val="00AB385B"/>
    <w:rsid w:val="00AB3DB4"/>
    <w:rsid w:val="00AB469B"/>
    <w:rsid w:val="00AB5E7A"/>
    <w:rsid w:val="00AB5EA7"/>
    <w:rsid w:val="00AB6D22"/>
    <w:rsid w:val="00AC1131"/>
    <w:rsid w:val="00AC4EA1"/>
    <w:rsid w:val="00AC6901"/>
    <w:rsid w:val="00AD1B4C"/>
    <w:rsid w:val="00AD3173"/>
    <w:rsid w:val="00AD4241"/>
    <w:rsid w:val="00AD4297"/>
    <w:rsid w:val="00AD61F2"/>
    <w:rsid w:val="00AD6A01"/>
    <w:rsid w:val="00AD70C7"/>
    <w:rsid w:val="00AE0191"/>
    <w:rsid w:val="00AE051A"/>
    <w:rsid w:val="00AE2920"/>
    <w:rsid w:val="00AE358C"/>
    <w:rsid w:val="00AE36CE"/>
    <w:rsid w:val="00AE6B8E"/>
    <w:rsid w:val="00AE7933"/>
    <w:rsid w:val="00AF323E"/>
    <w:rsid w:val="00AF3F3B"/>
    <w:rsid w:val="00AF69A0"/>
    <w:rsid w:val="00B00025"/>
    <w:rsid w:val="00B01981"/>
    <w:rsid w:val="00B03008"/>
    <w:rsid w:val="00B12ADE"/>
    <w:rsid w:val="00B1452D"/>
    <w:rsid w:val="00B23E4E"/>
    <w:rsid w:val="00B2465C"/>
    <w:rsid w:val="00B24B1B"/>
    <w:rsid w:val="00B270CB"/>
    <w:rsid w:val="00B271E8"/>
    <w:rsid w:val="00B34501"/>
    <w:rsid w:val="00B36763"/>
    <w:rsid w:val="00B3772F"/>
    <w:rsid w:val="00B40317"/>
    <w:rsid w:val="00B4285D"/>
    <w:rsid w:val="00B429ED"/>
    <w:rsid w:val="00B42A03"/>
    <w:rsid w:val="00B4330E"/>
    <w:rsid w:val="00B454FB"/>
    <w:rsid w:val="00B46FD5"/>
    <w:rsid w:val="00B53339"/>
    <w:rsid w:val="00B55D2C"/>
    <w:rsid w:val="00B57D43"/>
    <w:rsid w:val="00B60649"/>
    <w:rsid w:val="00B62384"/>
    <w:rsid w:val="00B65196"/>
    <w:rsid w:val="00B67DB5"/>
    <w:rsid w:val="00B7070D"/>
    <w:rsid w:val="00B71239"/>
    <w:rsid w:val="00B73014"/>
    <w:rsid w:val="00B73992"/>
    <w:rsid w:val="00B7564E"/>
    <w:rsid w:val="00B76816"/>
    <w:rsid w:val="00B77F44"/>
    <w:rsid w:val="00B77FAF"/>
    <w:rsid w:val="00B82D22"/>
    <w:rsid w:val="00B83D71"/>
    <w:rsid w:val="00B852FB"/>
    <w:rsid w:val="00B90135"/>
    <w:rsid w:val="00B912FC"/>
    <w:rsid w:val="00B927F6"/>
    <w:rsid w:val="00B928A1"/>
    <w:rsid w:val="00B96408"/>
    <w:rsid w:val="00B97581"/>
    <w:rsid w:val="00BA14E1"/>
    <w:rsid w:val="00BA1E0C"/>
    <w:rsid w:val="00BA2D62"/>
    <w:rsid w:val="00BA4702"/>
    <w:rsid w:val="00BA4AB8"/>
    <w:rsid w:val="00BA4FC2"/>
    <w:rsid w:val="00BB16F2"/>
    <w:rsid w:val="00BB228F"/>
    <w:rsid w:val="00BC26B2"/>
    <w:rsid w:val="00BC4A68"/>
    <w:rsid w:val="00BC4CB5"/>
    <w:rsid w:val="00BC519C"/>
    <w:rsid w:val="00BC5855"/>
    <w:rsid w:val="00BC6E9C"/>
    <w:rsid w:val="00BD1FB9"/>
    <w:rsid w:val="00BD287D"/>
    <w:rsid w:val="00BD5249"/>
    <w:rsid w:val="00BD6F1F"/>
    <w:rsid w:val="00BE00E2"/>
    <w:rsid w:val="00BE24BE"/>
    <w:rsid w:val="00BE3BBC"/>
    <w:rsid w:val="00BF6032"/>
    <w:rsid w:val="00BF6910"/>
    <w:rsid w:val="00BF7C01"/>
    <w:rsid w:val="00C00B87"/>
    <w:rsid w:val="00C03FF8"/>
    <w:rsid w:val="00C040C9"/>
    <w:rsid w:val="00C05F27"/>
    <w:rsid w:val="00C06F6F"/>
    <w:rsid w:val="00C07067"/>
    <w:rsid w:val="00C07F4A"/>
    <w:rsid w:val="00C13A72"/>
    <w:rsid w:val="00C13B17"/>
    <w:rsid w:val="00C16B1F"/>
    <w:rsid w:val="00C21840"/>
    <w:rsid w:val="00C273F1"/>
    <w:rsid w:val="00C27C47"/>
    <w:rsid w:val="00C34368"/>
    <w:rsid w:val="00C3685D"/>
    <w:rsid w:val="00C37551"/>
    <w:rsid w:val="00C40030"/>
    <w:rsid w:val="00C40E60"/>
    <w:rsid w:val="00C43089"/>
    <w:rsid w:val="00C53101"/>
    <w:rsid w:val="00C55232"/>
    <w:rsid w:val="00C552CA"/>
    <w:rsid w:val="00C5598A"/>
    <w:rsid w:val="00C5683E"/>
    <w:rsid w:val="00C61903"/>
    <w:rsid w:val="00C61967"/>
    <w:rsid w:val="00C61C11"/>
    <w:rsid w:val="00C7318C"/>
    <w:rsid w:val="00C73861"/>
    <w:rsid w:val="00C75AFD"/>
    <w:rsid w:val="00C77E69"/>
    <w:rsid w:val="00C83D53"/>
    <w:rsid w:val="00C8555F"/>
    <w:rsid w:val="00C95FC7"/>
    <w:rsid w:val="00C96049"/>
    <w:rsid w:val="00CA19CD"/>
    <w:rsid w:val="00CA33B1"/>
    <w:rsid w:val="00CB0691"/>
    <w:rsid w:val="00CB300A"/>
    <w:rsid w:val="00CB6057"/>
    <w:rsid w:val="00CC0BD5"/>
    <w:rsid w:val="00CC3706"/>
    <w:rsid w:val="00CC40D0"/>
    <w:rsid w:val="00CC497A"/>
    <w:rsid w:val="00CC6322"/>
    <w:rsid w:val="00CD2042"/>
    <w:rsid w:val="00CD405F"/>
    <w:rsid w:val="00CD4804"/>
    <w:rsid w:val="00CE17DF"/>
    <w:rsid w:val="00CE24B1"/>
    <w:rsid w:val="00CE31FD"/>
    <w:rsid w:val="00CE5537"/>
    <w:rsid w:val="00CE6C49"/>
    <w:rsid w:val="00CF17EB"/>
    <w:rsid w:val="00CF18F1"/>
    <w:rsid w:val="00CF4EEA"/>
    <w:rsid w:val="00CF7DEB"/>
    <w:rsid w:val="00D00D33"/>
    <w:rsid w:val="00D03A2E"/>
    <w:rsid w:val="00D03D72"/>
    <w:rsid w:val="00D057DD"/>
    <w:rsid w:val="00D0636C"/>
    <w:rsid w:val="00D127CC"/>
    <w:rsid w:val="00D155DC"/>
    <w:rsid w:val="00D15AF3"/>
    <w:rsid w:val="00D16B5A"/>
    <w:rsid w:val="00D2302E"/>
    <w:rsid w:val="00D2363D"/>
    <w:rsid w:val="00D240FA"/>
    <w:rsid w:val="00D2550B"/>
    <w:rsid w:val="00D26DAD"/>
    <w:rsid w:val="00D304E4"/>
    <w:rsid w:val="00D376A8"/>
    <w:rsid w:val="00D37E0C"/>
    <w:rsid w:val="00D462AD"/>
    <w:rsid w:val="00D466F4"/>
    <w:rsid w:val="00D509AE"/>
    <w:rsid w:val="00D558DF"/>
    <w:rsid w:val="00D5733D"/>
    <w:rsid w:val="00D61EB8"/>
    <w:rsid w:val="00D657D4"/>
    <w:rsid w:val="00D66189"/>
    <w:rsid w:val="00D70FF0"/>
    <w:rsid w:val="00D720C1"/>
    <w:rsid w:val="00D72CA8"/>
    <w:rsid w:val="00D736AA"/>
    <w:rsid w:val="00D8171D"/>
    <w:rsid w:val="00D839FD"/>
    <w:rsid w:val="00D87A57"/>
    <w:rsid w:val="00D939BF"/>
    <w:rsid w:val="00DA1689"/>
    <w:rsid w:val="00DA29B9"/>
    <w:rsid w:val="00DA3CB4"/>
    <w:rsid w:val="00DA5D9C"/>
    <w:rsid w:val="00DB34F4"/>
    <w:rsid w:val="00DB647F"/>
    <w:rsid w:val="00DC01F0"/>
    <w:rsid w:val="00DC31A7"/>
    <w:rsid w:val="00DC4E72"/>
    <w:rsid w:val="00DC521C"/>
    <w:rsid w:val="00DD0497"/>
    <w:rsid w:val="00DD3DA4"/>
    <w:rsid w:val="00DE5D49"/>
    <w:rsid w:val="00DE6486"/>
    <w:rsid w:val="00DF1581"/>
    <w:rsid w:val="00DF172F"/>
    <w:rsid w:val="00DF751D"/>
    <w:rsid w:val="00E006F8"/>
    <w:rsid w:val="00E024C9"/>
    <w:rsid w:val="00E057DF"/>
    <w:rsid w:val="00E05CA8"/>
    <w:rsid w:val="00E118C8"/>
    <w:rsid w:val="00E1529E"/>
    <w:rsid w:val="00E162F1"/>
    <w:rsid w:val="00E16887"/>
    <w:rsid w:val="00E16FB4"/>
    <w:rsid w:val="00E170B3"/>
    <w:rsid w:val="00E17398"/>
    <w:rsid w:val="00E207DF"/>
    <w:rsid w:val="00E209F2"/>
    <w:rsid w:val="00E31639"/>
    <w:rsid w:val="00E349DD"/>
    <w:rsid w:val="00E357EA"/>
    <w:rsid w:val="00E35F13"/>
    <w:rsid w:val="00E400E5"/>
    <w:rsid w:val="00E420F8"/>
    <w:rsid w:val="00E424A4"/>
    <w:rsid w:val="00E42735"/>
    <w:rsid w:val="00E42D78"/>
    <w:rsid w:val="00E45AD7"/>
    <w:rsid w:val="00E515E3"/>
    <w:rsid w:val="00E518E7"/>
    <w:rsid w:val="00E51EC7"/>
    <w:rsid w:val="00E5268E"/>
    <w:rsid w:val="00E52E2C"/>
    <w:rsid w:val="00E56886"/>
    <w:rsid w:val="00E62A9C"/>
    <w:rsid w:val="00E70A02"/>
    <w:rsid w:val="00E72447"/>
    <w:rsid w:val="00E72A3E"/>
    <w:rsid w:val="00E76844"/>
    <w:rsid w:val="00E84AEE"/>
    <w:rsid w:val="00E85FCD"/>
    <w:rsid w:val="00E8667D"/>
    <w:rsid w:val="00E91A02"/>
    <w:rsid w:val="00E91FF7"/>
    <w:rsid w:val="00E95665"/>
    <w:rsid w:val="00EA166E"/>
    <w:rsid w:val="00EA1C18"/>
    <w:rsid w:val="00EA22F1"/>
    <w:rsid w:val="00EA24D5"/>
    <w:rsid w:val="00EA2651"/>
    <w:rsid w:val="00EA26C5"/>
    <w:rsid w:val="00EA593A"/>
    <w:rsid w:val="00EA7111"/>
    <w:rsid w:val="00EB1E95"/>
    <w:rsid w:val="00EB4415"/>
    <w:rsid w:val="00EB4C38"/>
    <w:rsid w:val="00EB52F6"/>
    <w:rsid w:val="00EB54C7"/>
    <w:rsid w:val="00EB6123"/>
    <w:rsid w:val="00EB66B1"/>
    <w:rsid w:val="00EC014F"/>
    <w:rsid w:val="00EC06A7"/>
    <w:rsid w:val="00EC5B20"/>
    <w:rsid w:val="00EC77D2"/>
    <w:rsid w:val="00EC78A9"/>
    <w:rsid w:val="00ED0437"/>
    <w:rsid w:val="00ED3320"/>
    <w:rsid w:val="00ED4CF4"/>
    <w:rsid w:val="00ED65AC"/>
    <w:rsid w:val="00ED6A68"/>
    <w:rsid w:val="00EE17F0"/>
    <w:rsid w:val="00EE79B5"/>
    <w:rsid w:val="00EF3CB6"/>
    <w:rsid w:val="00EF4C12"/>
    <w:rsid w:val="00EF50C8"/>
    <w:rsid w:val="00EF5D41"/>
    <w:rsid w:val="00EF60BE"/>
    <w:rsid w:val="00F02691"/>
    <w:rsid w:val="00F04502"/>
    <w:rsid w:val="00F06887"/>
    <w:rsid w:val="00F06936"/>
    <w:rsid w:val="00F114C5"/>
    <w:rsid w:val="00F126B7"/>
    <w:rsid w:val="00F15275"/>
    <w:rsid w:val="00F162C4"/>
    <w:rsid w:val="00F17B00"/>
    <w:rsid w:val="00F30DC3"/>
    <w:rsid w:val="00F31351"/>
    <w:rsid w:val="00F3382B"/>
    <w:rsid w:val="00F33FCD"/>
    <w:rsid w:val="00F340DC"/>
    <w:rsid w:val="00F34597"/>
    <w:rsid w:val="00F367F1"/>
    <w:rsid w:val="00F40279"/>
    <w:rsid w:val="00F4135C"/>
    <w:rsid w:val="00F413E6"/>
    <w:rsid w:val="00F419B2"/>
    <w:rsid w:val="00F4363D"/>
    <w:rsid w:val="00F43D2E"/>
    <w:rsid w:val="00F44391"/>
    <w:rsid w:val="00F44706"/>
    <w:rsid w:val="00F44CD5"/>
    <w:rsid w:val="00F46384"/>
    <w:rsid w:val="00F601AC"/>
    <w:rsid w:val="00F72C55"/>
    <w:rsid w:val="00F7390E"/>
    <w:rsid w:val="00F80459"/>
    <w:rsid w:val="00F85366"/>
    <w:rsid w:val="00F901EA"/>
    <w:rsid w:val="00F90497"/>
    <w:rsid w:val="00F9082E"/>
    <w:rsid w:val="00F941DA"/>
    <w:rsid w:val="00F978EC"/>
    <w:rsid w:val="00FA2675"/>
    <w:rsid w:val="00FA5238"/>
    <w:rsid w:val="00FA5809"/>
    <w:rsid w:val="00FA696E"/>
    <w:rsid w:val="00FB4230"/>
    <w:rsid w:val="00FB5F8F"/>
    <w:rsid w:val="00FB652F"/>
    <w:rsid w:val="00FC0C77"/>
    <w:rsid w:val="00FC0D2B"/>
    <w:rsid w:val="00FC7AB6"/>
    <w:rsid w:val="00FD1B06"/>
    <w:rsid w:val="00FD1C01"/>
    <w:rsid w:val="00FD4CE7"/>
    <w:rsid w:val="00FE0460"/>
    <w:rsid w:val="00FE1B66"/>
    <w:rsid w:val="00FE1D83"/>
    <w:rsid w:val="00FE2608"/>
    <w:rsid w:val="00FE6E4F"/>
    <w:rsid w:val="00FE7C28"/>
    <w:rsid w:val="00FF0B66"/>
    <w:rsid w:val="00FF2FED"/>
    <w:rsid w:val="00FF3701"/>
    <w:rsid w:val="00FF74BA"/>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0D33CB-A365-4FFB-93F4-76CD115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3E"/>
    <w:pPr>
      <w:spacing w:after="0" w:line="240" w:lineRule="auto"/>
    </w:pPr>
  </w:style>
  <w:style w:type="paragraph" w:styleId="Heading1">
    <w:name w:val="heading 1"/>
    <w:basedOn w:val="Normal"/>
    <w:next w:val="Normal"/>
    <w:link w:val="Heading1Char"/>
    <w:autoRedefine/>
    <w:uiPriority w:val="9"/>
    <w:qFormat/>
    <w:rsid w:val="00123DE3"/>
    <w:pPr>
      <w:keepNext/>
      <w:keepLines/>
      <w:pageBreakBefore/>
      <w:numPr>
        <w:numId w:val="33"/>
      </w:numPr>
      <w:ind w:left="567" w:hanging="567"/>
      <w:outlineLvl w:val="0"/>
    </w:pPr>
    <w:rPr>
      <w:rFonts w:eastAsiaTheme="majorEastAsia"/>
      <w:b/>
      <w:bCs/>
      <w:szCs w:val="28"/>
    </w:rPr>
  </w:style>
  <w:style w:type="paragraph" w:styleId="Heading2">
    <w:name w:val="heading 2"/>
    <w:basedOn w:val="Normal"/>
    <w:next w:val="Normal"/>
    <w:link w:val="Heading2Char"/>
    <w:autoRedefine/>
    <w:uiPriority w:val="9"/>
    <w:unhideWhenUsed/>
    <w:qFormat/>
    <w:rsid w:val="006352D7"/>
    <w:pPr>
      <w:keepNext/>
      <w:keepLines/>
      <w:numPr>
        <w:ilvl w:val="1"/>
        <w:numId w:val="33"/>
      </w:numPr>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6352D7"/>
    <w:pPr>
      <w:keepNext/>
      <w:keepLines/>
      <w:numPr>
        <w:ilvl w:val="2"/>
        <w:numId w:val="33"/>
      </w:numPr>
      <w:outlineLvl w:val="2"/>
    </w:pPr>
    <w:rPr>
      <w:rFonts w:eastAsiaTheme="majorEastAsia"/>
      <w:b/>
      <w:bCs/>
    </w:rPr>
  </w:style>
  <w:style w:type="paragraph" w:styleId="Heading4">
    <w:name w:val="heading 4"/>
    <w:basedOn w:val="Normal"/>
    <w:next w:val="Normal"/>
    <w:link w:val="Heading4Char"/>
    <w:autoRedefine/>
    <w:uiPriority w:val="9"/>
    <w:unhideWhenUsed/>
    <w:rsid w:val="00EB66B1"/>
    <w:pPr>
      <w:keepNext/>
      <w:keepLines/>
      <w:numPr>
        <w:ilvl w:val="3"/>
        <w:numId w:val="33"/>
      </w:numPr>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rsid w:val="00273123"/>
    <w:pPr>
      <w:keepNext/>
      <w:keepLines/>
      <w:numPr>
        <w:ilvl w:val="4"/>
        <w:numId w:val="33"/>
      </w:numPr>
      <w:spacing w:before="240" w:after="120"/>
      <w:outlineLvl w:val="4"/>
    </w:pPr>
    <w:rPr>
      <w:rFonts w:eastAsiaTheme="majorEastAsia"/>
      <w:b/>
    </w:rPr>
  </w:style>
  <w:style w:type="paragraph" w:styleId="Heading6">
    <w:name w:val="heading 6"/>
    <w:basedOn w:val="Normal"/>
    <w:next w:val="Normal"/>
    <w:link w:val="Heading6Char"/>
    <w:uiPriority w:val="9"/>
    <w:unhideWhenUsed/>
    <w:rsid w:val="006F163E"/>
    <w:pPr>
      <w:keepNext/>
      <w:keepLines/>
      <w:numPr>
        <w:ilvl w:val="5"/>
        <w:numId w:val="33"/>
      </w:numPr>
      <w:spacing w:before="240" w:after="120"/>
      <w:outlineLvl w:val="5"/>
    </w:pPr>
    <w:rPr>
      <w:rFonts w:eastAsiaTheme="majorEastAsia"/>
      <w:b/>
      <w:iCs/>
    </w:rPr>
  </w:style>
  <w:style w:type="paragraph" w:styleId="Heading7">
    <w:name w:val="heading 7"/>
    <w:basedOn w:val="Normal"/>
    <w:next w:val="Normal"/>
    <w:link w:val="Heading7Char"/>
    <w:uiPriority w:val="9"/>
    <w:unhideWhenUsed/>
    <w:rsid w:val="006F163E"/>
    <w:pPr>
      <w:keepNext/>
      <w:keepLines/>
      <w:numPr>
        <w:ilvl w:val="6"/>
        <w:numId w:val="33"/>
      </w:numPr>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rsid w:val="006F163E"/>
    <w:pPr>
      <w:keepNext/>
      <w:keepLines/>
      <w:numPr>
        <w:ilvl w:val="7"/>
        <w:numId w:val="33"/>
      </w:numPr>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rsid w:val="006F163E"/>
    <w:pPr>
      <w:keepNext/>
      <w:keepLines/>
      <w:numPr>
        <w:ilvl w:val="8"/>
        <w:numId w:val="33"/>
      </w:numPr>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123DE3"/>
    <w:rPr>
      <w:rFonts w:eastAsiaTheme="majorEastAsia"/>
      <w:b/>
      <w:bCs/>
      <w:szCs w:val="28"/>
    </w:rPr>
  </w:style>
  <w:style w:type="character" w:customStyle="1" w:styleId="Heading2Char">
    <w:name w:val="Heading 2 Char"/>
    <w:basedOn w:val="DefaultParagraphFont"/>
    <w:link w:val="Heading2"/>
    <w:uiPriority w:val="9"/>
    <w:rsid w:val="006352D7"/>
    <w:rPr>
      <w:rFonts w:eastAsiaTheme="majorEastAsia"/>
      <w:b/>
      <w:bCs/>
      <w:szCs w:val="26"/>
    </w:rPr>
  </w:style>
  <w:style w:type="character" w:customStyle="1" w:styleId="Heading3Char">
    <w:name w:val="Heading 3 Char"/>
    <w:basedOn w:val="DefaultParagraphFont"/>
    <w:link w:val="Heading3"/>
    <w:uiPriority w:val="9"/>
    <w:rsid w:val="006352D7"/>
    <w:rPr>
      <w:rFonts w:eastAsiaTheme="majorEastAsia"/>
      <w:b/>
      <w:bCs/>
    </w:rPr>
  </w:style>
  <w:style w:type="character" w:customStyle="1" w:styleId="Heading4Char">
    <w:name w:val="Heading 4 Char"/>
    <w:basedOn w:val="DefaultParagraphFont"/>
    <w:link w:val="Heading4"/>
    <w:uiPriority w:val="9"/>
    <w:rsid w:val="00EB66B1"/>
    <w:rPr>
      <w:rFonts w:eastAsiaTheme="majorEastAsia"/>
      <w:b/>
      <w:bCs/>
      <w:iCs/>
    </w:rPr>
  </w:style>
  <w:style w:type="character" w:customStyle="1" w:styleId="Heading5Char">
    <w:name w:val="Heading 5 Char"/>
    <w:basedOn w:val="DefaultParagraphFont"/>
    <w:link w:val="Heading5"/>
    <w:uiPriority w:val="9"/>
    <w:rsid w:val="00273123"/>
    <w:rPr>
      <w:rFonts w:eastAsiaTheme="majorEastAsia"/>
      <w:b/>
    </w:rPr>
  </w:style>
  <w:style w:type="character" w:customStyle="1" w:styleId="Heading6Char">
    <w:name w:val="Heading 6 Char"/>
    <w:basedOn w:val="DefaultParagraphFont"/>
    <w:link w:val="Heading6"/>
    <w:uiPriority w:val="9"/>
    <w:rsid w:val="006F163E"/>
    <w:rPr>
      <w:rFonts w:eastAsiaTheme="majorEastAsia"/>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eastAsiaTheme="majorEastAsia" w:cstheme="majorBidi"/>
      <w:b/>
      <w:i/>
      <w:iCs/>
    </w:rPr>
  </w:style>
  <w:style w:type="character" w:customStyle="1" w:styleId="Heading8Char">
    <w:name w:val="Heading 8 Char"/>
    <w:basedOn w:val="DefaultParagraphFont"/>
    <w:link w:val="Heading8"/>
    <w:uiPriority w:val="9"/>
    <w:rsid w:val="006F163E"/>
    <w:rPr>
      <w:rFonts w:eastAsiaTheme="majorEastAsia" w:cstheme="majorBidi"/>
      <w:szCs w:val="20"/>
    </w:rPr>
  </w:style>
  <w:style w:type="character" w:customStyle="1" w:styleId="Heading9Char">
    <w:name w:val="Heading 9 Char"/>
    <w:basedOn w:val="DefaultParagraphFont"/>
    <w:link w:val="Heading9"/>
    <w:uiPriority w:val="9"/>
    <w:rsid w:val="006F163E"/>
    <w:rPr>
      <w:rFonts w:eastAsiaTheme="majorEastAsia" w:cstheme="majorBidi"/>
      <w:i/>
      <w:iCs/>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basedOn w:val="DefaultParagraphFont"/>
    <w:link w:val="BalloonText"/>
    <w:uiPriority w:val="99"/>
    <w:semiHidden/>
    <w:rsid w:val="00346FC5"/>
    <w:rPr>
      <w:rFonts w:ascii="Tahoma" w:hAnsi="Tahoma" w:cs="Tahoma"/>
      <w:sz w:val="16"/>
      <w:szCs w:val="16"/>
    </w:rPr>
  </w:style>
  <w:style w:type="character" w:styleId="CommentReference">
    <w:name w:val="annotation reference"/>
    <w:basedOn w:val="DefaultParagraphFont"/>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basedOn w:val="DefaultParagraphFont"/>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basedOn w:val="CommentTextChar"/>
    <w:link w:val="CommentSubject"/>
    <w:uiPriority w:val="99"/>
    <w:semiHidden/>
    <w:rsid w:val="00915E6B"/>
    <w:rPr>
      <w:b/>
      <w:bCs/>
      <w:sz w:val="20"/>
      <w:szCs w:val="20"/>
    </w:rPr>
  </w:style>
  <w:style w:type="character" w:styleId="Hyperlink">
    <w:name w:val="Hyperlink"/>
    <w:basedOn w:val="DefaultParagraphFont"/>
    <w:uiPriority w:val="99"/>
    <w:unhideWhenUsed/>
    <w:rsid w:val="0013277C"/>
    <w:rPr>
      <w:color w:val="0000FF" w:themeColor="hyperlink"/>
      <w:u w:val="single"/>
    </w:rPr>
  </w:style>
  <w:style w:type="paragraph" w:styleId="FootnoteText">
    <w:name w:val="footnote text"/>
    <w:basedOn w:val="Normal"/>
    <w:link w:val="FootnoteTextChar"/>
    <w:uiPriority w:val="99"/>
    <w:unhideWhenUsed/>
    <w:rsid w:val="0013277C"/>
    <w:rPr>
      <w:sz w:val="20"/>
      <w:szCs w:val="20"/>
    </w:rPr>
  </w:style>
  <w:style w:type="character" w:customStyle="1" w:styleId="FootnoteTextChar">
    <w:name w:val="Footnote Text Char"/>
    <w:basedOn w:val="DefaultParagraphFont"/>
    <w:link w:val="FootnoteText"/>
    <w:uiPriority w:val="99"/>
    <w:rsid w:val="0013277C"/>
    <w:rPr>
      <w:sz w:val="20"/>
      <w:szCs w:val="20"/>
    </w:rPr>
  </w:style>
  <w:style w:type="character" w:styleId="FootnoteReference">
    <w:name w:val="footnote reference"/>
    <w:aliases w:val="Fn Ref,Footnote Reference (Alt+R)"/>
    <w:basedOn w:val="DefaultParagraphFont"/>
    <w:uiPriority w:val="99"/>
    <w:unhideWhenUsed/>
    <w:qFormat/>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basedOn w:val="DefaultParagraphFont"/>
    <w:uiPriority w:val="99"/>
    <w:semiHidden/>
    <w:unhideWhenUsed/>
    <w:rsid w:val="000336BD"/>
    <w:rPr>
      <w:color w:val="800080" w:themeColor="followedHyperlink"/>
      <w:u w:val="single"/>
    </w:rPr>
  </w:style>
  <w:style w:type="character" w:styleId="EndnoteReference">
    <w:name w:val="endnote reference"/>
    <w:basedOn w:val="DefaultParagraphFont"/>
    <w:uiPriority w:val="99"/>
    <w:semiHidden/>
    <w:unhideWhenUsed/>
    <w:rsid w:val="00DC521C"/>
    <w:rPr>
      <w:vertAlign w:val="superscript"/>
    </w:rPr>
  </w:style>
  <w:style w:type="paragraph" w:styleId="Revision">
    <w:name w:val="Revision"/>
    <w:hidden/>
    <w:uiPriority w:val="99"/>
    <w:semiHidden/>
    <w:rsid w:val="00AA6745"/>
    <w:pPr>
      <w:spacing w:after="0" w:line="240" w:lineRule="auto"/>
    </w:pPr>
  </w:style>
  <w:style w:type="paragraph" w:styleId="TOC1">
    <w:name w:val="toc 1"/>
    <w:basedOn w:val="Normal"/>
    <w:next w:val="Normal"/>
    <w:autoRedefine/>
    <w:uiPriority w:val="39"/>
    <w:unhideWhenUsed/>
    <w:rsid w:val="00123DE3"/>
    <w:pPr>
      <w:ind w:left="567" w:hanging="567"/>
    </w:pPr>
  </w:style>
  <w:style w:type="paragraph" w:styleId="TOC2">
    <w:name w:val="toc 2"/>
    <w:basedOn w:val="Normal"/>
    <w:next w:val="Normal"/>
    <w:autoRedefine/>
    <w:uiPriority w:val="39"/>
    <w:unhideWhenUsed/>
    <w:rsid w:val="00123DE3"/>
    <w:pPr>
      <w:ind w:left="1134" w:hanging="567"/>
    </w:pPr>
  </w:style>
  <w:style w:type="paragraph" w:styleId="TOC3">
    <w:name w:val="toc 3"/>
    <w:basedOn w:val="Normal"/>
    <w:next w:val="Normal"/>
    <w:autoRedefine/>
    <w:uiPriority w:val="39"/>
    <w:unhideWhenUsed/>
    <w:rsid w:val="00123DE3"/>
    <w:pPr>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EF3CB6"/>
    <w:pPr>
      <w:spacing w:after="120"/>
    </w:pPr>
    <w:rPr>
      <w:i/>
      <w:sz w:val="20"/>
    </w:rPr>
  </w:style>
  <w:style w:type="character" w:customStyle="1" w:styleId="Un-numberedsubheadingChar">
    <w:name w:val="Un-numbered subheading Char"/>
    <w:basedOn w:val="BodyTextChar"/>
    <w:link w:val="Un-numberedsubheading"/>
    <w:rsid w:val="00FF0B66"/>
    <w:rPr>
      <w:b/>
    </w:rPr>
  </w:style>
  <w:style w:type="character" w:customStyle="1" w:styleId="SourcereferenceChar">
    <w:name w:val="Source reference Char"/>
    <w:basedOn w:val="DefaultParagraphFont"/>
    <w:link w:val="Sourcereference"/>
    <w:rsid w:val="00EF3CB6"/>
    <w:rPr>
      <w:i/>
      <w:sz w:val="20"/>
    </w:rPr>
  </w:style>
  <w:style w:type="paragraph" w:styleId="ListParagraph">
    <w:name w:val="List Paragraph"/>
    <w:basedOn w:val="Normal"/>
    <w:uiPriority w:val="34"/>
    <w:qFormat/>
    <w:rsid w:val="00BC5855"/>
    <w:pPr>
      <w:ind w:left="720"/>
      <w:contextualSpacing/>
    </w:pPr>
  </w:style>
  <w:style w:type="paragraph" w:customStyle="1" w:styleId="Default">
    <w:name w:val="Default"/>
    <w:rsid w:val="002B402D"/>
    <w:pPr>
      <w:autoSpaceDE w:val="0"/>
      <w:autoSpaceDN w:val="0"/>
      <w:adjustRightInd w:val="0"/>
      <w:spacing w:after="0" w:line="240" w:lineRule="auto"/>
    </w:pPr>
    <w:rPr>
      <w:rFonts w:ascii="Times New Roman" w:hAnsi="Times New Roman" w:cs="Times New Roman"/>
      <w:color w:val="000000"/>
      <w:lang w:val="el-GR"/>
    </w:rPr>
  </w:style>
  <w:style w:type="paragraph" w:customStyle="1" w:styleId="SingleTxtG">
    <w:name w:val="_ Single Txt_G"/>
    <w:basedOn w:val="Normal"/>
    <w:link w:val="SingleTxtGChar"/>
    <w:qFormat/>
    <w:rsid w:val="00F44706"/>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F44706"/>
    <w:rPr>
      <w:rFonts w:ascii="Times New Roman" w:eastAsia="SimSun" w:hAnsi="Times New Roman" w:cs="Times New Roman"/>
      <w:sz w:val="20"/>
      <w:szCs w:val="20"/>
      <w:lang w:eastAsia="zh-CN"/>
    </w:rPr>
  </w:style>
  <w:style w:type="character" w:customStyle="1" w:styleId="bylinename">
    <w:name w:val="byline__name"/>
    <w:basedOn w:val="DefaultParagraphFont"/>
    <w:rsid w:val="00E4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5889">
      <w:bodyDiv w:val="1"/>
      <w:marLeft w:val="0"/>
      <w:marRight w:val="0"/>
      <w:marTop w:val="0"/>
      <w:marBottom w:val="0"/>
      <w:divBdr>
        <w:top w:val="none" w:sz="0" w:space="0" w:color="auto"/>
        <w:left w:val="none" w:sz="0" w:space="0" w:color="auto"/>
        <w:bottom w:val="none" w:sz="0" w:space="0" w:color="auto"/>
        <w:right w:val="none" w:sz="0" w:space="0" w:color="auto"/>
      </w:divBdr>
    </w:div>
    <w:div w:id="1305702240">
      <w:bodyDiv w:val="1"/>
      <w:marLeft w:val="0"/>
      <w:marRight w:val="0"/>
      <w:marTop w:val="0"/>
      <w:marBottom w:val="0"/>
      <w:divBdr>
        <w:top w:val="none" w:sz="0" w:space="0" w:color="auto"/>
        <w:left w:val="none" w:sz="0" w:space="0" w:color="auto"/>
        <w:bottom w:val="none" w:sz="0" w:space="0" w:color="auto"/>
        <w:right w:val="none" w:sz="0" w:space="0" w:color="auto"/>
      </w:divBdr>
      <w:divsChild>
        <w:div w:id="723678467">
          <w:marLeft w:val="0"/>
          <w:marRight w:val="0"/>
          <w:marTop w:val="0"/>
          <w:marBottom w:val="0"/>
          <w:divBdr>
            <w:top w:val="none" w:sz="0" w:space="0" w:color="auto"/>
            <w:left w:val="none" w:sz="0" w:space="0" w:color="auto"/>
            <w:bottom w:val="none" w:sz="0" w:space="0" w:color="auto"/>
            <w:right w:val="none" w:sz="0" w:space="0" w:color="auto"/>
          </w:divBdr>
        </w:div>
        <w:div w:id="500315304">
          <w:marLeft w:val="0"/>
          <w:marRight w:val="0"/>
          <w:marTop w:val="0"/>
          <w:marBottom w:val="0"/>
          <w:divBdr>
            <w:top w:val="none" w:sz="0" w:space="0" w:color="auto"/>
            <w:left w:val="none" w:sz="0" w:space="0" w:color="auto"/>
            <w:bottom w:val="none" w:sz="0" w:space="0" w:color="auto"/>
            <w:right w:val="none" w:sz="0" w:space="0" w:color="auto"/>
          </w:divBdr>
        </w:div>
        <w:div w:id="645627848">
          <w:marLeft w:val="0"/>
          <w:marRight w:val="0"/>
          <w:marTop w:val="0"/>
          <w:marBottom w:val="0"/>
          <w:divBdr>
            <w:top w:val="none" w:sz="0" w:space="0" w:color="auto"/>
            <w:left w:val="none" w:sz="0" w:space="0" w:color="auto"/>
            <w:bottom w:val="none" w:sz="0" w:space="0" w:color="auto"/>
            <w:right w:val="none" w:sz="0" w:space="0" w:color="auto"/>
          </w:divBdr>
        </w:div>
        <w:div w:id="926424651">
          <w:marLeft w:val="0"/>
          <w:marRight w:val="0"/>
          <w:marTop w:val="0"/>
          <w:marBottom w:val="0"/>
          <w:divBdr>
            <w:top w:val="none" w:sz="0" w:space="0" w:color="auto"/>
            <w:left w:val="none" w:sz="0" w:space="0" w:color="auto"/>
            <w:bottom w:val="none" w:sz="0" w:space="0" w:color="auto"/>
            <w:right w:val="none" w:sz="0" w:space="0" w:color="auto"/>
          </w:divBdr>
        </w:div>
        <w:div w:id="895435629">
          <w:marLeft w:val="0"/>
          <w:marRight w:val="0"/>
          <w:marTop w:val="0"/>
          <w:marBottom w:val="0"/>
          <w:divBdr>
            <w:top w:val="none" w:sz="0" w:space="0" w:color="auto"/>
            <w:left w:val="none" w:sz="0" w:space="0" w:color="auto"/>
            <w:bottom w:val="none" w:sz="0" w:space="0" w:color="auto"/>
            <w:right w:val="none" w:sz="0" w:space="0" w:color="auto"/>
          </w:divBdr>
        </w:div>
        <w:div w:id="1336372707">
          <w:marLeft w:val="0"/>
          <w:marRight w:val="0"/>
          <w:marTop w:val="0"/>
          <w:marBottom w:val="0"/>
          <w:divBdr>
            <w:top w:val="none" w:sz="0" w:space="0" w:color="auto"/>
            <w:left w:val="none" w:sz="0" w:space="0" w:color="auto"/>
            <w:bottom w:val="none" w:sz="0" w:space="0" w:color="auto"/>
            <w:right w:val="none" w:sz="0" w:space="0" w:color="auto"/>
          </w:divBdr>
        </w:div>
        <w:div w:id="1135488126">
          <w:marLeft w:val="0"/>
          <w:marRight w:val="0"/>
          <w:marTop w:val="0"/>
          <w:marBottom w:val="0"/>
          <w:divBdr>
            <w:top w:val="none" w:sz="0" w:space="0" w:color="auto"/>
            <w:left w:val="none" w:sz="0" w:space="0" w:color="auto"/>
            <w:bottom w:val="none" w:sz="0" w:space="0" w:color="auto"/>
            <w:right w:val="none" w:sz="0" w:space="0" w:color="auto"/>
          </w:divBdr>
        </w:div>
        <w:div w:id="2077776542">
          <w:marLeft w:val="0"/>
          <w:marRight w:val="0"/>
          <w:marTop w:val="0"/>
          <w:marBottom w:val="0"/>
          <w:divBdr>
            <w:top w:val="none" w:sz="0" w:space="0" w:color="auto"/>
            <w:left w:val="none" w:sz="0" w:space="0" w:color="auto"/>
            <w:bottom w:val="none" w:sz="0" w:space="0" w:color="auto"/>
            <w:right w:val="none" w:sz="0" w:space="0" w:color="auto"/>
          </w:divBdr>
        </w:div>
        <w:div w:id="1918830595">
          <w:marLeft w:val="0"/>
          <w:marRight w:val="0"/>
          <w:marTop w:val="0"/>
          <w:marBottom w:val="0"/>
          <w:divBdr>
            <w:top w:val="none" w:sz="0" w:space="0" w:color="auto"/>
            <w:left w:val="none" w:sz="0" w:space="0" w:color="auto"/>
            <w:bottom w:val="none" w:sz="0" w:space="0" w:color="auto"/>
            <w:right w:val="none" w:sz="0" w:space="0" w:color="auto"/>
          </w:divBdr>
        </w:div>
        <w:div w:id="2015255327">
          <w:marLeft w:val="0"/>
          <w:marRight w:val="0"/>
          <w:marTop w:val="0"/>
          <w:marBottom w:val="0"/>
          <w:divBdr>
            <w:top w:val="none" w:sz="0" w:space="0" w:color="auto"/>
            <w:left w:val="none" w:sz="0" w:space="0" w:color="auto"/>
            <w:bottom w:val="none" w:sz="0" w:space="0" w:color="auto"/>
            <w:right w:val="none" w:sz="0" w:space="0" w:color="auto"/>
          </w:divBdr>
        </w:div>
        <w:div w:id="1592397147">
          <w:marLeft w:val="0"/>
          <w:marRight w:val="0"/>
          <w:marTop w:val="0"/>
          <w:marBottom w:val="0"/>
          <w:divBdr>
            <w:top w:val="none" w:sz="0" w:space="0" w:color="auto"/>
            <w:left w:val="none" w:sz="0" w:space="0" w:color="auto"/>
            <w:bottom w:val="none" w:sz="0" w:space="0" w:color="auto"/>
            <w:right w:val="none" w:sz="0" w:space="0" w:color="auto"/>
          </w:divBdr>
        </w:div>
        <w:div w:id="1882282520">
          <w:marLeft w:val="0"/>
          <w:marRight w:val="0"/>
          <w:marTop w:val="0"/>
          <w:marBottom w:val="0"/>
          <w:divBdr>
            <w:top w:val="none" w:sz="0" w:space="0" w:color="auto"/>
            <w:left w:val="none" w:sz="0" w:space="0" w:color="auto"/>
            <w:bottom w:val="none" w:sz="0" w:space="0" w:color="auto"/>
            <w:right w:val="none" w:sz="0" w:space="0" w:color="auto"/>
          </w:divBdr>
        </w:div>
        <w:div w:id="1781487767">
          <w:marLeft w:val="0"/>
          <w:marRight w:val="0"/>
          <w:marTop w:val="0"/>
          <w:marBottom w:val="0"/>
          <w:divBdr>
            <w:top w:val="none" w:sz="0" w:space="0" w:color="auto"/>
            <w:left w:val="none" w:sz="0" w:space="0" w:color="auto"/>
            <w:bottom w:val="none" w:sz="0" w:space="0" w:color="auto"/>
            <w:right w:val="none" w:sz="0" w:space="0" w:color="auto"/>
          </w:divBdr>
        </w:div>
        <w:div w:id="907957083">
          <w:marLeft w:val="0"/>
          <w:marRight w:val="0"/>
          <w:marTop w:val="0"/>
          <w:marBottom w:val="0"/>
          <w:divBdr>
            <w:top w:val="none" w:sz="0" w:space="0" w:color="auto"/>
            <w:left w:val="none" w:sz="0" w:space="0" w:color="auto"/>
            <w:bottom w:val="none" w:sz="0" w:space="0" w:color="auto"/>
            <w:right w:val="none" w:sz="0" w:space="0" w:color="auto"/>
          </w:divBdr>
        </w:div>
        <w:div w:id="1835603905">
          <w:marLeft w:val="0"/>
          <w:marRight w:val="0"/>
          <w:marTop w:val="0"/>
          <w:marBottom w:val="0"/>
          <w:divBdr>
            <w:top w:val="none" w:sz="0" w:space="0" w:color="auto"/>
            <w:left w:val="none" w:sz="0" w:space="0" w:color="auto"/>
            <w:bottom w:val="none" w:sz="0" w:space="0" w:color="auto"/>
            <w:right w:val="none" w:sz="0" w:space="0" w:color="auto"/>
          </w:divBdr>
        </w:div>
        <w:div w:id="1384986525">
          <w:marLeft w:val="0"/>
          <w:marRight w:val="0"/>
          <w:marTop w:val="0"/>
          <w:marBottom w:val="0"/>
          <w:divBdr>
            <w:top w:val="none" w:sz="0" w:space="0" w:color="auto"/>
            <w:left w:val="none" w:sz="0" w:space="0" w:color="auto"/>
            <w:bottom w:val="none" w:sz="0" w:space="0" w:color="auto"/>
            <w:right w:val="none" w:sz="0" w:space="0" w:color="auto"/>
          </w:divBdr>
        </w:div>
        <w:div w:id="614291144">
          <w:marLeft w:val="0"/>
          <w:marRight w:val="0"/>
          <w:marTop w:val="0"/>
          <w:marBottom w:val="0"/>
          <w:divBdr>
            <w:top w:val="none" w:sz="0" w:space="0" w:color="auto"/>
            <w:left w:val="none" w:sz="0" w:space="0" w:color="auto"/>
            <w:bottom w:val="none" w:sz="0" w:space="0" w:color="auto"/>
            <w:right w:val="none" w:sz="0" w:space="0" w:color="auto"/>
          </w:divBdr>
        </w:div>
      </w:divsChild>
    </w:div>
    <w:div w:id="1353263710">
      <w:bodyDiv w:val="1"/>
      <w:marLeft w:val="0"/>
      <w:marRight w:val="0"/>
      <w:marTop w:val="0"/>
      <w:marBottom w:val="0"/>
      <w:divBdr>
        <w:top w:val="none" w:sz="0" w:space="0" w:color="auto"/>
        <w:left w:val="none" w:sz="0" w:space="0" w:color="auto"/>
        <w:bottom w:val="none" w:sz="0" w:space="0" w:color="auto"/>
        <w:right w:val="none" w:sz="0" w:space="0" w:color="auto"/>
      </w:divBdr>
      <w:divsChild>
        <w:div w:id="1319921833">
          <w:marLeft w:val="0"/>
          <w:marRight w:val="0"/>
          <w:marTop w:val="0"/>
          <w:marBottom w:val="0"/>
          <w:divBdr>
            <w:top w:val="none" w:sz="0" w:space="0" w:color="auto"/>
            <w:left w:val="none" w:sz="0" w:space="0" w:color="auto"/>
            <w:bottom w:val="none" w:sz="0" w:space="0" w:color="auto"/>
            <w:right w:val="none" w:sz="0" w:space="0" w:color="auto"/>
          </w:divBdr>
        </w:div>
        <w:div w:id="1415325634">
          <w:marLeft w:val="0"/>
          <w:marRight w:val="0"/>
          <w:marTop w:val="0"/>
          <w:marBottom w:val="0"/>
          <w:divBdr>
            <w:top w:val="none" w:sz="0" w:space="0" w:color="auto"/>
            <w:left w:val="none" w:sz="0" w:space="0" w:color="auto"/>
            <w:bottom w:val="none" w:sz="0" w:space="0" w:color="auto"/>
            <w:right w:val="none" w:sz="0" w:space="0" w:color="auto"/>
          </w:divBdr>
        </w:div>
        <w:div w:id="1625774008">
          <w:marLeft w:val="0"/>
          <w:marRight w:val="0"/>
          <w:marTop w:val="0"/>
          <w:marBottom w:val="0"/>
          <w:divBdr>
            <w:top w:val="none" w:sz="0" w:space="0" w:color="auto"/>
            <w:left w:val="none" w:sz="0" w:space="0" w:color="auto"/>
            <w:bottom w:val="none" w:sz="0" w:space="0" w:color="auto"/>
            <w:right w:val="none" w:sz="0" w:space="0" w:color="auto"/>
          </w:divBdr>
        </w:div>
        <w:div w:id="1307082403">
          <w:marLeft w:val="0"/>
          <w:marRight w:val="0"/>
          <w:marTop w:val="0"/>
          <w:marBottom w:val="0"/>
          <w:divBdr>
            <w:top w:val="none" w:sz="0" w:space="0" w:color="auto"/>
            <w:left w:val="none" w:sz="0" w:space="0" w:color="auto"/>
            <w:bottom w:val="none" w:sz="0" w:space="0" w:color="auto"/>
            <w:right w:val="none" w:sz="0" w:space="0" w:color="auto"/>
          </w:divBdr>
        </w:div>
      </w:divsChild>
    </w:div>
    <w:div w:id="1823161053">
      <w:bodyDiv w:val="1"/>
      <w:marLeft w:val="0"/>
      <w:marRight w:val="0"/>
      <w:marTop w:val="0"/>
      <w:marBottom w:val="0"/>
      <w:divBdr>
        <w:top w:val="none" w:sz="0" w:space="0" w:color="auto"/>
        <w:left w:val="none" w:sz="0" w:space="0" w:color="auto"/>
        <w:bottom w:val="none" w:sz="0" w:space="0" w:color="auto"/>
        <w:right w:val="none" w:sz="0" w:space="0" w:color="auto"/>
      </w:divBdr>
      <w:divsChild>
        <w:div w:id="2116631442">
          <w:marLeft w:val="0"/>
          <w:marRight w:val="0"/>
          <w:marTop w:val="0"/>
          <w:marBottom w:val="0"/>
          <w:divBdr>
            <w:top w:val="none" w:sz="0" w:space="0" w:color="auto"/>
            <w:left w:val="none" w:sz="0" w:space="0" w:color="auto"/>
            <w:bottom w:val="none" w:sz="0" w:space="0" w:color="auto"/>
            <w:right w:val="none" w:sz="0" w:space="0" w:color="auto"/>
          </w:divBdr>
        </w:div>
        <w:div w:id="1480149211">
          <w:marLeft w:val="0"/>
          <w:marRight w:val="0"/>
          <w:marTop w:val="0"/>
          <w:marBottom w:val="0"/>
          <w:divBdr>
            <w:top w:val="none" w:sz="0" w:space="0" w:color="auto"/>
            <w:left w:val="none" w:sz="0" w:space="0" w:color="auto"/>
            <w:bottom w:val="none" w:sz="0" w:space="0" w:color="auto"/>
            <w:right w:val="none" w:sz="0" w:space="0" w:color="auto"/>
          </w:divBdr>
        </w:div>
        <w:div w:id="49453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http://disability-europe.net/" TargetMode="Externa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enistrati@gmail.com"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p4u.gr/wp-content/uploads/eis_aei_2015.pdf" TargetMode="External"/><Relationship Id="rId13" Type="http://schemas.openxmlformats.org/officeDocument/2006/relationships/hyperlink" Target="http://esaea.gr/pressoffice/announcements/2731-diamartyria-me-polla-minymata-gia-tin-eidiki-ekpaideysi" TargetMode="External"/><Relationship Id="rId18" Type="http://schemas.openxmlformats.org/officeDocument/2006/relationships/hyperlink" Target="http://esaea.gr/legal-framework/circulars/2719-30-09-2015-gnostopoiisi-diataxeon-toy-n-4331-2015" TargetMode="External"/><Relationship Id="rId26" Type="http://schemas.openxmlformats.org/officeDocument/2006/relationships/hyperlink" Target="http://www.bbc.com/news/magazine-30038753" TargetMode="External"/><Relationship Id="rId3" Type="http://schemas.openxmlformats.org/officeDocument/2006/relationships/hyperlink" Target="http://www.disability-europe.net/theme/statistical-indicators" TargetMode="External"/><Relationship Id="rId21" Type="http://schemas.openxmlformats.org/officeDocument/2006/relationships/hyperlink" Target="http://www2.ohchr.org/english/bodies/crc/docs/co/CRC_C_GRC_CO_2-3.pdf" TargetMode="External"/><Relationship Id="rId7" Type="http://schemas.openxmlformats.org/officeDocument/2006/relationships/hyperlink" Target="http://edu.klimaka.gr/anakoinoseis-panellhnies/panellhnies/1077-apotelesmata-eisagwghs-ypopshfiwn-sovares-pathhseis-5-panelladikes.html" TargetMode="External"/><Relationship Id="rId12" Type="http://schemas.openxmlformats.org/officeDocument/2006/relationships/hyperlink" Target="http://www.synigoros.gr/resources/docs/ee2014-12-diakriseis.pdf" TargetMode="External"/><Relationship Id="rId17" Type="http://schemas.openxmlformats.org/officeDocument/2006/relationships/hyperlink" Target="http://www.esfhellas.gr/el/Pages/NewsFS.aspx?item=179" TargetMode="External"/><Relationship Id="rId25" Type="http://schemas.openxmlformats.org/officeDocument/2006/relationships/hyperlink" Target="http://www.synigoros.gr/?i=childrens-rights.el.files.46883" TargetMode="External"/><Relationship Id="rId33" Type="http://schemas.openxmlformats.org/officeDocument/2006/relationships/hyperlink" Target="http://www.esamea.gr/pressoffice/press-releases/1180-oi-protaseis-toy-anapirikoy-kinimatos-sta-perifereiaka-epixeirisiaka-programmata-attiki-d-ellada-an-makedonia-thraki" TargetMode="External"/><Relationship Id="rId2" Type="http://schemas.openxmlformats.org/officeDocument/2006/relationships/hyperlink" Target="http://epp.eurostat.ec.europa.eu/statistics_explained/index.php/Glossary:Minimum_European_Health_Module_(MEHM)" TargetMode="External"/><Relationship Id="rId16" Type="http://schemas.openxmlformats.org/officeDocument/2006/relationships/hyperlink" Target="http://www.esfhellas.gr/el/Pages/NewsFS.aspx?item=167" TargetMode="External"/><Relationship Id="rId20" Type="http://schemas.openxmlformats.org/officeDocument/2006/relationships/hyperlink" Target="http://esaea.gr/press-office/press-releases/2748-diakiryxi-e-s-a-mea-gia-tin-4i-noembrioy-gia-tin-axioprepeia-tin-koinoniki-prostasia-tin-isotita-ti-dikaiosyni" TargetMode="External"/><Relationship Id="rId29" Type="http://schemas.openxmlformats.org/officeDocument/2006/relationships/hyperlink" Target="http://www.esfhellas.gr/el/Pages/NewsFS.aspx?item=117" TargetMode="External"/><Relationship Id="rId1" Type="http://schemas.openxmlformats.org/officeDocument/2006/relationships/hyperlink" Target="http://ec.europa.eu/europe2020/pdf/targets_en.pdf" TargetMode="External"/><Relationship Id="rId6" Type="http://schemas.openxmlformats.org/officeDocument/2006/relationships/hyperlink" Target="http://www.statistics.gr/portal/page/portal/ESYE/PAGE-themes?p_param=A1404&amp;r_param=SED41&amp;y_param=2012_00&amp;mytabs=0" TargetMode="External"/><Relationship Id="rId11" Type="http://schemas.openxmlformats.org/officeDocument/2006/relationships/hyperlink" Target="http://www.statistics.gr/statistics/-/publication/SHE27/-" TargetMode="External"/><Relationship Id="rId24" Type="http://schemas.openxmlformats.org/officeDocument/2006/relationships/hyperlink" Target="http://booksjournal.gr/blog/item/1579" TargetMode="External"/><Relationship Id="rId32" Type="http://schemas.openxmlformats.org/officeDocument/2006/relationships/hyperlink" Target="http://www.esamea.gr/pressoffice/press-releases/1180-oi-protaseis-toy-anapirikoy-kinimatos-sta-perifereiaka-epixeirisiaka-programmata-attiki-d-ellada-an-makedonia-thraki" TargetMode="External"/><Relationship Id="rId5" Type="http://schemas.openxmlformats.org/officeDocument/2006/relationships/hyperlink" Target="http://appsso.eurostat.ec.europa.eu/nui/show.do?dataset=hlth_de020&amp;lang=en" TargetMode="External"/><Relationship Id="rId15" Type="http://schemas.openxmlformats.org/officeDocument/2006/relationships/hyperlink" Target="http://www.esfhellas.gr/el/Pages/NewsFS.aspx?item=183" TargetMode="External"/><Relationship Id="rId23" Type="http://schemas.openxmlformats.org/officeDocument/2006/relationships/hyperlink" Target="http://www.synigoros.gr/resources/parallel-report-un--3.pdf" TargetMode="External"/><Relationship Id="rId28" Type="http://schemas.openxmlformats.org/officeDocument/2006/relationships/hyperlink" Target="http://edu.klimaka.gr/nomothesia/fek/2204-fek-193-2013-n4186-anadiarthrwsh-devterobathmias-ekpaidevshs.html" TargetMode="External"/><Relationship Id="rId10" Type="http://schemas.openxmlformats.org/officeDocument/2006/relationships/hyperlink" Target="http://www.statistics.gr/portal/page/portal/ESYE/BUCKET/A0802/PressReleases/A0802_SFA10_DT_AN_00_2014_01_F_GR.pdf" TargetMode="External"/><Relationship Id="rId19" Type="http://schemas.openxmlformats.org/officeDocument/2006/relationships/hyperlink" Target="http://www.statistics.gr/portal/page/portal/ESYE/BUCKET/A0802/PressReleases/A0802_SFA10_DT_AN_00_2014_01_F_GR.pdf" TargetMode="External"/><Relationship Id="rId31" Type="http://schemas.openxmlformats.org/officeDocument/2006/relationships/hyperlink" Target="http://www.esfhellas.gr/el/Pages/NewsFS.aspx?item=98" TargetMode="External"/><Relationship Id="rId4" Type="http://schemas.openxmlformats.org/officeDocument/2006/relationships/hyperlink" Target="http://appsso.eurostat.ec.europa.eu/nui/show.do?dataset=hlth_de010&amp;lang=en" TargetMode="External"/><Relationship Id="rId9" Type="http://schemas.openxmlformats.org/officeDocument/2006/relationships/hyperlink" Target="http://www.minedu.gov.gr/home/dioikitika-eggrafa/93-eggrafa-eksetaseon-ypopsifion-me-sobares-pathiseis/14066-14-09-15-2015" TargetMode="External"/><Relationship Id="rId14" Type="http://schemas.openxmlformats.org/officeDocument/2006/relationships/hyperlink" Target="http://www.synigoros.gr/resources/docs/ee2014-12-diakriseis.pdf" TargetMode="External"/><Relationship Id="rId22" Type="http://schemas.openxmlformats.org/officeDocument/2006/relationships/hyperlink" Target="http://tbinternet.ohchr.org/Treaties/CCPR/Shared%20Documents/GRC/CCPR_C_GRC_CO_2_22220_E.docx" TargetMode="External"/><Relationship Id="rId27" Type="http://schemas.openxmlformats.org/officeDocument/2006/relationships/hyperlink" Target="http://www.esaea.gr/legal-framework/laws/2620-n-4331-2015-metra-gia-tin-anakoyfisi-ton-atomon-me-anapiria-amea-tin-aplopoiisi-tis-leitoyrgias-ton-kentron-pistopoiisis-anapirias-ke-p-a-katapolemisi-tis-eisforodiafygis-kai-synafi-asfalistika-zitimata-kai-alles-diataxeis" TargetMode="External"/><Relationship Id="rId30" Type="http://schemas.openxmlformats.org/officeDocument/2006/relationships/hyperlink" Target="http://www.esfhellas.gr/el/Pages/NewsFS.aspx?item=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layout/>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All 'limited'</c:v>
                </c:pt>
                <c:pt idx="1">
                  <c:v>Strongly limited</c:v>
                </c:pt>
                <c:pt idx="2">
                  <c:v>Limited to some extent</c:v>
                </c:pt>
                <c:pt idx="3">
                  <c:v>Not limited</c:v>
                </c:pt>
                <c:pt idx="4">
                  <c:v>Women</c:v>
                </c:pt>
                <c:pt idx="5">
                  <c:v>Men</c:v>
                </c:pt>
                <c:pt idx="6">
                  <c:v>Age 16-64</c:v>
                </c:pt>
                <c:pt idx="7">
                  <c:v>Age 65+</c:v>
                </c:pt>
              </c:strCache>
            </c:strRef>
          </c:cat>
          <c:val>
            <c:numRef>
              <c:f>Sheet1!$B$2:$B$9</c:f>
              <c:numCache>
                <c:formatCode>General</c:formatCode>
                <c:ptCount val="8"/>
                <c:pt idx="0">
                  <c:v>26.9</c:v>
                </c:pt>
                <c:pt idx="1">
                  <c:v>8.7000000000000011</c:v>
                </c:pt>
                <c:pt idx="2">
                  <c:v>18.3</c:v>
                </c:pt>
                <c:pt idx="3">
                  <c:v>73.099999999999994</c:v>
                </c:pt>
                <c:pt idx="4">
                  <c:v>29.4</c:v>
                </c:pt>
                <c:pt idx="5">
                  <c:v>24.3</c:v>
                </c:pt>
                <c:pt idx="6">
                  <c:v>19</c:v>
                </c:pt>
                <c:pt idx="7">
                  <c:v>54.5</c:v>
                </c:pt>
              </c:numCache>
            </c:numRef>
          </c:val>
        </c:ser>
        <c:ser>
          <c:idx val="1"/>
          <c:order val="1"/>
          <c:tx>
            <c:strRef>
              <c:f>Sheet1!$C$1</c:f>
              <c:strCache>
                <c:ptCount val="1"/>
                <c:pt idx="0">
                  <c:v>National average</c:v>
                </c:pt>
              </c:strCache>
            </c:strRef>
          </c:tx>
          <c:invertIfNegative val="0"/>
          <c:cat>
            <c:strRef>
              <c:f>Sheet1!$A$2:$A$9</c:f>
              <c:strCache>
                <c:ptCount val="8"/>
                <c:pt idx="0">
                  <c:v>All 'limited'</c:v>
                </c:pt>
                <c:pt idx="1">
                  <c:v>Strongly limited</c:v>
                </c:pt>
                <c:pt idx="2">
                  <c:v>Limited to some extent</c:v>
                </c:pt>
                <c:pt idx="3">
                  <c:v>Not limited</c:v>
                </c:pt>
                <c:pt idx="4">
                  <c:v>Women</c:v>
                </c:pt>
                <c:pt idx="5">
                  <c:v>Men</c:v>
                </c:pt>
                <c:pt idx="6">
                  <c:v>Age 16-64</c:v>
                </c:pt>
                <c:pt idx="7">
                  <c:v>Age 65+</c:v>
                </c:pt>
              </c:strCache>
            </c:strRef>
          </c:cat>
          <c:val>
            <c:numRef>
              <c:f>Sheet1!$C$2:$C$9</c:f>
              <c:numCache>
                <c:formatCode>General</c:formatCode>
                <c:ptCount val="8"/>
                <c:pt idx="0">
                  <c:v>23</c:v>
                </c:pt>
                <c:pt idx="1">
                  <c:v>10.7</c:v>
                </c:pt>
                <c:pt idx="2">
                  <c:v>12.4</c:v>
                </c:pt>
                <c:pt idx="3">
                  <c:v>77</c:v>
                </c:pt>
                <c:pt idx="4">
                  <c:v>25.4</c:v>
                </c:pt>
                <c:pt idx="5">
                  <c:v>20.6</c:v>
                </c:pt>
                <c:pt idx="6">
                  <c:v>11</c:v>
                </c:pt>
                <c:pt idx="7">
                  <c:v>60.6</c:v>
                </c:pt>
              </c:numCache>
            </c:numRef>
          </c:val>
        </c:ser>
        <c:dLbls>
          <c:showLegendKey val="0"/>
          <c:showVal val="0"/>
          <c:showCatName val="0"/>
          <c:showSerName val="0"/>
          <c:showPercent val="0"/>
          <c:showBubbleSize val="0"/>
        </c:dLbls>
        <c:gapWidth val="150"/>
        <c:axId val="261521608"/>
        <c:axId val="261527880"/>
      </c:barChart>
      <c:catAx>
        <c:axId val="261521608"/>
        <c:scaling>
          <c:orientation val="maxMin"/>
        </c:scaling>
        <c:delete val="0"/>
        <c:axPos val="l"/>
        <c:numFmt formatCode="General" sourceLinked="1"/>
        <c:majorTickMark val="none"/>
        <c:minorTickMark val="none"/>
        <c:tickLblPos val="nextTo"/>
        <c:crossAx val="261527880"/>
        <c:crosses val="autoZero"/>
        <c:auto val="1"/>
        <c:lblAlgn val="ctr"/>
        <c:lblOffset val="100"/>
        <c:noMultiLvlLbl val="0"/>
      </c:catAx>
      <c:valAx>
        <c:axId val="261527880"/>
        <c:scaling>
          <c:orientation val="minMax"/>
        </c:scaling>
        <c:delete val="0"/>
        <c:axPos val="t"/>
        <c:majorGridlines/>
        <c:title>
          <c:tx>
            <c:rich>
              <a:bodyPr/>
              <a:lstStyle/>
              <a:p>
                <a:pPr>
                  <a:defRPr/>
                </a:pPr>
                <a:r>
                  <a:rPr lang="en-GB"/>
                  <a:t>%</a:t>
                </a:r>
              </a:p>
            </c:rich>
          </c:tx>
          <c:layout/>
          <c:overlay val="0"/>
        </c:title>
        <c:numFmt formatCode="General" sourceLinked="1"/>
        <c:majorTickMark val="none"/>
        <c:minorTickMark val="none"/>
        <c:tickLblPos val="nextTo"/>
        <c:crossAx val="261521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layout/>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54.9</c:v>
                </c:pt>
                <c:pt idx="1">
                  <c:v>59.3</c:v>
                </c:pt>
                <c:pt idx="2">
                  <c:v>42.4</c:v>
                </c:pt>
                <c:pt idx="3">
                  <c:v>37.5</c:v>
                </c:pt>
                <c:pt idx="4">
                  <c:v>37.9</c:v>
                </c:pt>
                <c:pt idx="5" formatCode="0.0">
                  <c:v>39.47</c:v>
                </c:pt>
              </c:numCache>
            </c:numRef>
          </c:val>
          <c:smooth val="0"/>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61.2</c:v>
                </c:pt>
                <c:pt idx="1">
                  <c:v>60.2</c:v>
                </c:pt>
                <c:pt idx="2">
                  <c:v>52</c:v>
                </c:pt>
                <c:pt idx="3">
                  <c:v>52.6</c:v>
                </c:pt>
                <c:pt idx="4">
                  <c:v>62.5</c:v>
                </c:pt>
                <c:pt idx="5" formatCode="0.0">
                  <c:v>57.75</c:v>
                </c:pt>
              </c:numCache>
            </c:numRef>
          </c:val>
          <c:smooth val="0"/>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79.5</c:v>
                </c:pt>
                <c:pt idx="1">
                  <c:v>79.7</c:v>
                </c:pt>
                <c:pt idx="2">
                  <c:v>65.5</c:v>
                </c:pt>
                <c:pt idx="3">
                  <c:v>64.599999999999994</c:v>
                </c:pt>
                <c:pt idx="4">
                  <c:v>66.099999999999994</c:v>
                </c:pt>
                <c:pt idx="5" formatCode="0.0">
                  <c:v>64.58</c:v>
                </c:pt>
              </c:numCache>
            </c:numRef>
          </c:val>
          <c:smooth val="0"/>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92.2</c:v>
                </c:pt>
                <c:pt idx="1">
                  <c:v>90.6</c:v>
                </c:pt>
                <c:pt idx="2">
                  <c:v>86.4</c:v>
                </c:pt>
                <c:pt idx="3">
                  <c:v>85.3</c:v>
                </c:pt>
                <c:pt idx="4">
                  <c:v>85.7</c:v>
                </c:pt>
                <c:pt idx="5" formatCode="0.0">
                  <c:v>86.210000000000022</c:v>
                </c:pt>
              </c:numCache>
            </c:numRef>
          </c:val>
          <c:smooth val="0"/>
        </c:ser>
        <c:ser>
          <c:idx val="4"/>
          <c:order val="4"/>
          <c:tx>
            <c:strRef>
              <c:f>Sheet1!$F$1</c:f>
              <c:strCache>
                <c:ptCount val="1"/>
                <c:pt idx="0">
                  <c:v>EU average (all)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75</c:v>
                </c:pt>
                <c:pt idx="1">
                  <c:v>75.3</c:v>
                </c:pt>
                <c:pt idx="2">
                  <c:v>75.400000000000006</c:v>
                </c:pt>
                <c:pt idx="3">
                  <c:v>75.8</c:v>
                </c:pt>
                <c:pt idx="4">
                  <c:v>76.3</c:v>
                </c:pt>
                <c:pt idx="5">
                  <c:v>76.8</c:v>
                </c:pt>
              </c:numCache>
            </c:numRef>
          </c:val>
          <c:smooth val="0"/>
        </c:ser>
        <c:dLbls>
          <c:showLegendKey val="0"/>
          <c:showVal val="0"/>
          <c:showCatName val="0"/>
          <c:showSerName val="0"/>
          <c:showPercent val="0"/>
          <c:showBubbleSize val="0"/>
        </c:dLbls>
        <c:marker val="1"/>
        <c:smooth val="0"/>
        <c:axId val="413658912"/>
        <c:axId val="413662440"/>
      </c:lineChart>
      <c:catAx>
        <c:axId val="413658912"/>
        <c:scaling>
          <c:orientation val="minMax"/>
        </c:scaling>
        <c:delete val="0"/>
        <c:axPos val="b"/>
        <c:numFmt formatCode="General" sourceLinked="1"/>
        <c:majorTickMark val="none"/>
        <c:minorTickMark val="none"/>
        <c:tickLblPos val="nextTo"/>
        <c:crossAx val="413662440"/>
        <c:crosses val="autoZero"/>
        <c:auto val="1"/>
        <c:lblAlgn val="ctr"/>
        <c:lblOffset val="100"/>
        <c:noMultiLvlLbl val="0"/>
      </c:catAx>
      <c:valAx>
        <c:axId val="41366244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6589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layout/>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General</c:formatCode>
                <c:ptCount val="4"/>
                <c:pt idx="0">
                  <c:v>21.5</c:v>
                </c:pt>
                <c:pt idx="1">
                  <c:v>9.4</c:v>
                </c:pt>
                <c:pt idx="2">
                  <c:v>22.4</c:v>
                </c:pt>
                <c:pt idx="3">
                  <c:v>10.9</c:v>
                </c:pt>
              </c:numCache>
            </c:numRef>
          </c:val>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1">
                  <c:v>9.15</c:v>
                </c:pt>
                <c:pt idx="2">
                  <c:v>12.61</c:v>
                </c:pt>
                <c:pt idx="3">
                  <c:v>8.91</c:v>
                </c:pt>
              </c:numCache>
            </c:numRef>
          </c:val>
        </c:ser>
        <c:dLbls>
          <c:showLegendKey val="0"/>
          <c:showVal val="0"/>
          <c:showCatName val="0"/>
          <c:showSerName val="0"/>
          <c:showPercent val="0"/>
          <c:showBubbleSize val="0"/>
        </c:dLbls>
        <c:gapWidth val="150"/>
        <c:axId val="413654992"/>
        <c:axId val="413656952"/>
      </c:barChart>
      <c:catAx>
        <c:axId val="413654992"/>
        <c:scaling>
          <c:orientation val="minMax"/>
        </c:scaling>
        <c:delete val="0"/>
        <c:axPos val="b"/>
        <c:numFmt formatCode="General" sourceLinked="1"/>
        <c:majorTickMark val="none"/>
        <c:minorTickMark val="none"/>
        <c:tickLblPos val="nextTo"/>
        <c:crossAx val="413656952"/>
        <c:crosses val="autoZero"/>
        <c:auto val="1"/>
        <c:lblAlgn val="ctr"/>
        <c:lblOffset val="100"/>
        <c:noMultiLvlLbl val="0"/>
      </c:catAx>
      <c:valAx>
        <c:axId val="413656952"/>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654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layout/>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General</c:formatCode>
                <c:ptCount val="4"/>
                <c:pt idx="0">
                  <c:v>28</c:v>
                </c:pt>
                <c:pt idx="1">
                  <c:v>40.700000000000003</c:v>
                </c:pt>
                <c:pt idx="2">
                  <c:v>26.8</c:v>
                </c:pt>
                <c:pt idx="3">
                  <c:v>38.9</c:v>
                </c:pt>
              </c:numCache>
            </c:numRef>
          </c:val>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16.79</c:v>
                </c:pt>
                <c:pt idx="1">
                  <c:v>37.660000000000011</c:v>
                </c:pt>
                <c:pt idx="2">
                  <c:v>17.18</c:v>
                </c:pt>
                <c:pt idx="3">
                  <c:v>34.5</c:v>
                </c:pt>
              </c:numCache>
            </c:numRef>
          </c:val>
        </c:ser>
        <c:dLbls>
          <c:showLegendKey val="0"/>
          <c:showVal val="0"/>
          <c:showCatName val="0"/>
          <c:showSerName val="0"/>
          <c:showPercent val="0"/>
          <c:showBubbleSize val="0"/>
        </c:dLbls>
        <c:gapWidth val="150"/>
        <c:axId val="413660088"/>
        <c:axId val="413656168"/>
      </c:barChart>
      <c:catAx>
        <c:axId val="413660088"/>
        <c:scaling>
          <c:orientation val="minMax"/>
        </c:scaling>
        <c:delete val="0"/>
        <c:axPos val="b"/>
        <c:numFmt formatCode="General" sourceLinked="1"/>
        <c:majorTickMark val="none"/>
        <c:minorTickMark val="none"/>
        <c:tickLblPos val="nextTo"/>
        <c:crossAx val="413656168"/>
        <c:crosses val="autoZero"/>
        <c:auto val="1"/>
        <c:lblAlgn val="ctr"/>
        <c:lblOffset val="100"/>
        <c:noMultiLvlLbl val="0"/>
      </c:catAx>
      <c:valAx>
        <c:axId val="41365616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6600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21"/>
          <c:y val="1.6427104722792643E-2"/>
        </c:manualLayout>
      </c:layout>
      <c:overlay val="0"/>
    </c:title>
    <c:autoTitleDeleted val="0"/>
    <c:plotArea>
      <c:layout/>
      <c:lineChart>
        <c:grouping val="standard"/>
        <c:varyColors val="0"/>
        <c:ser>
          <c:idx val="0"/>
          <c:order val="0"/>
          <c:tx>
            <c:strRef>
              <c:f>Sheet1!$B$1</c:f>
              <c:strCache>
                <c:ptCount val="1"/>
                <c:pt idx="0">
                  <c:v>Disabled (national)</c:v>
                </c:pt>
              </c:strCache>
            </c:strRef>
          </c:tx>
          <c:trendline>
            <c:trendlineType val="linear"/>
            <c:dispRSqr val="0"/>
            <c:dispEq val="0"/>
          </c:trendline>
          <c:cat>
            <c:strRef>
              <c:f>Sheet1!$A$2:$A$7</c:f>
              <c:strCache>
                <c:ptCount val="6"/>
                <c:pt idx="0">
                  <c:v>2008</c:v>
                </c:pt>
                <c:pt idx="1">
                  <c:v>2009</c:v>
                </c:pt>
                <c:pt idx="2">
                  <c:v>2010*</c:v>
                </c:pt>
                <c:pt idx="3">
                  <c:v>2011</c:v>
                </c:pt>
                <c:pt idx="4">
                  <c:v>2012</c:v>
                </c:pt>
                <c:pt idx="5">
                  <c:v>2013*</c:v>
                </c:pt>
              </c:strCache>
            </c:strRef>
          </c:cat>
          <c:val>
            <c:numRef>
              <c:f>Sheet1!$B$2:$B$7</c:f>
              <c:numCache>
                <c:formatCode>General</c:formatCode>
                <c:ptCount val="6"/>
                <c:pt idx="0">
                  <c:v>4.4000000000000004</c:v>
                </c:pt>
                <c:pt idx="1">
                  <c:v>0</c:v>
                </c:pt>
                <c:pt idx="2">
                  <c:v>8.7000000000000011</c:v>
                </c:pt>
                <c:pt idx="3">
                  <c:v>33.5</c:v>
                </c:pt>
                <c:pt idx="4">
                  <c:v>30.6</c:v>
                </c:pt>
                <c:pt idx="5" formatCode="0.0">
                  <c:v>16.79</c:v>
                </c:pt>
              </c:numCache>
            </c:numRef>
          </c:val>
          <c:smooth val="0"/>
        </c:ser>
        <c:ser>
          <c:idx val="1"/>
          <c:order val="1"/>
          <c:tx>
            <c:strRef>
              <c:f>Sheet1!$C$1</c:f>
              <c:strCache>
                <c:ptCount val="1"/>
                <c:pt idx="0">
                  <c:v>Non-disabled (national)</c:v>
                </c:pt>
              </c:strCache>
            </c:strRef>
          </c:tx>
          <c:cat>
            <c:strRef>
              <c:f>Sheet1!$A$2:$A$7</c:f>
              <c:strCache>
                <c:ptCount val="6"/>
                <c:pt idx="0">
                  <c:v>2008</c:v>
                </c:pt>
                <c:pt idx="1">
                  <c:v>2009</c:v>
                </c:pt>
                <c:pt idx="2">
                  <c:v>2010*</c:v>
                </c:pt>
                <c:pt idx="3">
                  <c:v>2011</c:v>
                </c:pt>
                <c:pt idx="4">
                  <c:v>2012</c:v>
                </c:pt>
                <c:pt idx="5">
                  <c:v>2013*</c:v>
                </c:pt>
              </c:strCache>
            </c:strRef>
          </c:cat>
          <c:val>
            <c:numRef>
              <c:f>Sheet1!$C$2:$C$7</c:f>
              <c:numCache>
                <c:formatCode>General</c:formatCode>
                <c:ptCount val="6"/>
                <c:pt idx="0">
                  <c:v>30.8</c:v>
                </c:pt>
                <c:pt idx="1">
                  <c:v>32.300000000000004</c:v>
                </c:pt>
                <c:pt idx="2">
                  <c:v>35.5</c:v>
                </c:pt>
                <c:pt idx="3">
                  <c:v>34.4</c:v>
                </c:pt>
                <c:pt idx="4">
                  <c:v>35.4</c:v>
                </c:pt>
                <c:pt idx="5" formatCode="0.0">
                  <c:v>37.660000000000011</c:v>
                </c:pt>
              </c:numCache>
            </c:numRef>
          </c:val>
          <c:smooth val="0"/>
        </c:ser>
        <c:ser>
          <c:idx val="2"/>
          <c:order val="2"/>
          <c:tx>
            <c:strRef>
              <c:f>Sheet1!$D$1</c:f>
              <c:strCache>
                <c:ptCount val="1"/>
                <c:pt idx="0">
                  <c:v>Disabled EU)</c:v>
                </c:pt>
              </c:strCache>
            </c:strRef>
          </c:tx>
          <c:cat>
            <c:strRef>
              <c:f>Sheet1!$A$2:$A$7</c:f>
              <c:strCache>
                <c:ptCount val="6"/>
                <c:pt idx="0">
                  <c:v>2008</c:v>
                </c:pt>
                <c:pt idx="1">
                  <c:v>2009</c:v>
                </c:pt>
                <c:pt idx="2">
                  <c:v>2010*</c:v>
                </c:pt>
                <c:pt idx="3">
                  <c:v>2011</c:v>
                </c:pt>
                <c:pt idx="4">
                  <c:v>2012</c:v>
                </c:pt>
                <c:pt idx="5">
                  <c:v>2013*</c:v>
                </c:pt>
              </c:strCache>
            </c:strRef>
          </c:cat>
          <c:val>
            <c:numRef>
              <c:f>Sheet1!$D$2:$D$7</c:f>
              <c:numCache>
                <c:formatCode>General</c:formatCode>
                <c:ptCount val="6"/>
                <c:pt idx="0">
                  <c:v>20.399999999999999</c:v>
                </c:pt>
                <c:pt idx="1">
                  <c:v>21.6</c:v>
                </c:pt>
                <c:pt idx="2">
                  <c:v>22.8</c:v>
                </c:pt>
                <c:pt idx="3">
                  <c:v>27.1</c:v>
                </c:pt>
                <c:pt idx="4">
                  <c:v>27.8</c:v>
                </c:pt>
                <c:pt idx="5">
                  <c:v>28</c:v>
                </c:pt>
              </c:numCache>
            </c:numRef>
          </c:val>
          <c:smooth val="0"/>
        </c:ser>
        <c:ser>
          <c:idx val="3"/>
          <c:order val="3"/>
          <c:tx>
            <c:strRef>
              <c:f>Sheet1!$E$1</c:f>
              <c:strCache>
                <c:ptCount val="1"/>
                <c:pt idx="0">
                  <c:v>Non-disabled (EU)</c:v>
                </c:pt>
              </c:strCache>
            </c:strRef>
          </c:tx>
          <c:cat>
            <c:strRef>
              <c:f>Sheet1!$A$2:$A$7</c:f>
              <c:strCache>
                <c:ptCount val="6"/>
                <c:pt idx="0">
                  <c:v>2008</c:v>
                </c:pt>
                <c:pt idx="1">
                  <c:v>2009</c:v>
                </c:pt>
                <c:pt idx="2">
                  <c:v>2010*</c:v>
                </c:pt>
                <c:pt idx="3">
                  <c:v>2011</c:v>
                </c:pt>
                <c:pt idx="4">
                  <c:v>2012</c:v>
                </c:pt>
                <c:pt idx="5">
                  <c:v>2013*</c:v>
                </c:pt>
              </c:strCache>
            </c:strRef>
          </c:cat>
          <c:val>
            <c:numRef>
              <c:f>Sheet1!$E$2:$E$7</c:f>
              <c:numCache>
                <c:formatCode>General</c:formatCode>
                <c:ptCount val="6"/>
                <c:pt idx="0">
                  <c:v>33.1</c:v>
                </c:pt>
                <c:pt idx="1">
                  <c:v>35.4</c:v>
                </c:pt>
                <c:pt idx="2">
                  <c:v>37</c:v>
                </c:pt>
                <c:pt idx="3">
                  <c:v>36.9</c:v>
                </c:pt>
                <c:pt idx="4">
                  <c:v>39.300000000000004</c:v>
                </c:pt>
                <c:pt idx="5">
                  <c:v>40.700000000000003</c:v>
                </c:pt>
              </c:numCache>
            </c:numRef>
          </c:val>
          <c:smooth val="0"/>
        </c:ser>
        <c:dLbls>
          <c:showLegendKey val="0"/>
          <c:showVal val="0"/>
          <c:showCatName val="0"/>
          <c:showSerName val="0"/>
          <c:showPercent val="0"/>
          <c:showBubbleSize val="0"/>
        </c:dLbls>
        <c:marker val="1"/>
        <c:smooth val="0"/>
        <c:axId val="413658128"/>
        <c:axId val="413659696"/>
      </c:lineChart>
      <c:catAx>
        <c:axId val="413658128"/>
        <c:scaling>
          <c:orientation val="minMax"/>
        </c:scaling>
        <c:delete val="0"/>
        <c:axPos val="b"/>
        <c:numFmt formatCode="General" sourceLinked="1"/>
        <c:majorTickMark val="none"/>
        <c:minorTickMark val="none"/>
        <c:tickLblPos val="nextTo"/>
        <c:crossAx val="413659696"/>
        <c:crosses val="autoZero"/>
        <c:auto val="1"/>
        <c:lblAlgn val="ctr"/>
        <c:lblOffset val="100"/>
        <c:noMultiLvlLbl val="0"/>
      </c:catAx>
      <c:valAx>
        <c:axId val="41365969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6581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Main types of </a:t>
            </a:r>
            <a:r>
              <a:rPr lang="en-GB" baseline="0"/>
              <a:t>h</a:t>
            </a:r>
            <a:r>
              <a:rPr lang="en-GB"/>
              <a:t>ousehold poverty risk</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General</c:formatCode>
                <c:ptCount val="6"/>
                <c:pt idx="0">
                  <c:v>23.9</c:v>
                </c:pt>
                <c:pt idx="1">
                  <c:v>8.5</c:v>
                </c:pt>
                <c:pt idx="2">
                  <c:v>18.7</c:v>
                </c:pt>
                <c:pt idx="3">
                  <c:v>14.8</c:v>
                </c:pt>
                <c:pt idx="4">
                  <c:v>12.6</c:v>
                </c:pt>
                <c:pt idx="5">
                  <c:v>8</c:v>
                </c:pt>
              </c:numCache>
            </c:numRef>
          </c:val>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39.99</c:v>
                </c:pt>
                <c:pt idx="1">
                  <c:v>17.18</c:v>
                </c:pt>
                <c:pt idx="2">
                  <c:v>20.8</c:v>
                </c:pt>
                <c:pt idx="3">
                  <c:v>21.9</c:v>
                </c:pt>
                <c:pt idx="4">
                  <c:v>22.16</c:v>
                </c:pt>
                <c:pt idx="5">
                  <c:v>19.22</c:v>
                </c:pt>
              </c:numCache>
            </c:numRef>
          </c:val>
        </c:ser>
        <c:dLbls>
          <c:showLegendKey val="0"/>
          <c:showVal val="0"/>
          <c:showCatName val="0"/>
          <c:showSerName val="0"/>
          <c:showPercent val="0"/>
          <c:showBubbleSize val="0"/>
        </c:dLbls>
        <c:gapWidth val="150"/>
        <c:axId val="413661656"/>
        <c:axId val="413656560"/>
      </c:barChart>
      <c:catAx>
        <c:axId val="413661656"/>
        <c:scaling>
          <c:orientation val="minMax"/>
        </c:scaling>
        <c:delete val="0"/>
        <c:axPos val="b"/>
        <c:numFmt formatCode="General" sourceLinked="1"/>
        <c:majorTickMark val="none"/>
        <c:minorTickMark val="none"/>
        <c:tickLblPos val="nextTo"/>
        <c:crossAx val="413656560"/>
        <c:crosses val="autoZero"/>
        <c:auto val="1"/>
        <c:lblAlgn val="ctr"/>
        <c:lblOffset val="100"/>
        <c:noMultiLvlLbl val="0"/>
      </c:catAx>
      <c:valAx>
        <c:axId val="41365656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661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General</c:formatCode>
                <c:ptCount val="7"/>
                <c:pt idx="0">
                  <c:v>21.5</c:v>
                </c:pt>
                <c:pt idx="1">
                  <c:v>27.1</c:v>
                </c:pt>
                <c:pt idx="2">
                  <c:v>36.1</c:v>
                </c:pt>
                <c:pt idx="3">
                  <c:v>30.6</c:v>
                </c:pt>
                <c:pt idx="4">
                  <c:v>29.2</c:v>
                </c:pt>
                <c:pt idx="5">
                  <c:v>22.6</c:v>
                </c:pt>
                <c:pt idx="6">
                  <c:v>20.5</c:v>
                </c:pt>
              </c:numCache>
            </c:numRef>
          </c:val>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34.49</c:v>
                </c:pt>
                <c:pt idx="1">
                  <c:v>34.82</c:v>
                </c:pt>
                <c:pt idx="2">
                  <c:v>39.190000000000012</c:v>
                </c:pt>
                <c:pt idx="3">
                  <c:v>36.44</c:v>
                </c:pt>
                <c:pt idx="4">
                  <c:v>37.370000000000005</c:v>
                </c:pt>
                <c:pt idx="5">
                  <c:v>36.380000000000003</c:v>
                </c:pt>
                <c:pt idx="6">
                  <c:v>32.630000000000003</c:v>
                </c:pt>
              </c:numCache>
            </c:numRef>
          </c:val>
        </c:ser>
        <c:dLbls>
          <c:showLegendKey val="0"/>
          <c:showVal val="0"/>
          <c:showCatName val="0"/>
          <c:showSerName val="0"/>
          <c:showPercent val="0"/>
          <c:showBubbleSize val="0"/>
        </c:dLbls>
        <c:gapWidth val="150"/>
        <c:axId val="414086064"/>
        <c:axId val="414084888"/>
      </c:barChart>
      <c:catAx>
        <c:axId val="414086064"/>
        <c:scaling>
          <c:orientation val="minMax"/>
        </c:scaling>
        <c:delete val="0"/>
        <c:axPos val="b"/>
        <c:numFmt formatCode="General" sourceLinked="1"/>
        <c:majorTickMark val="none"/>
        <c:minorTickMark val="none"/>
        <c:tickLblPos val="nextTo"/>
        <c:crossAx val="414084888"/>
        <c:crosses val="autoZero"/>
        <c:auto val="1"/>
        <c:lblAlgn val="ctr"/>
        <c:lblOffset val="100"/>
        <c:noMultiLvlLbl val="0"/>
      </c:catAx>
      <c:valAx>
        <c:axId val="41408488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40860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General</c:formatCode>
                <c:ptCount val="4"/>
                <c:pt idx="0">
                  <c:v>37.300000000000004</c:v>
                </c:pt>
                <c:pt idx="1">
                  <c:v>22.6</c:v>
                </c:pt>
                <c:pt idx="2">
                  <c:v>20.9</c:v>
                </c:pt>
                <c:pt idx="3">
                  <c:v>14.7</c:v>
                </c:pt>
              </c:numCache>
            </c:numRef>
          </c:val>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54.41</c:v>
                </c:pt>
                <c:pt idx="1">
                  <c:v>36.840000000000003</c:v>
                </c:pt>
                <c:pt idx="2">
                  <c:v>26.29</c:v>
                </c:pt>
                <c:pt idx="3">
                  <c:v>17.21</c:v>
                </c:pt>
              </c:numCache>
            </c:numRef>
          </c:val>
        </c:ser>
        <c:dLbls>
          <c:showLegendKey val="0"/>
          <c:showVal val="0"/>
          <c:showCatName val="0"/>
          <c:showSerName val="0"/>
          <c:showPercent val="0"/>
          <c:showBubbleSize val="0"/>
        </c:dLbls>
        <c:gapWidth val="150"/>
        <c:axId val="414089592"/>
        <c:axId val="414088416"/>
      </c:barChart>
      <c:catAx>
        <c:axId val="414089592"/>
        <c:scaling>
          <c:orientation val="minMax"/>
        </c:scaling>
        <c:delete val="0"/>
        <c:axPos val="b"/>
        <c:numFmt formatCode="General" sourceLinked="1"/>
        <c:majorTickMark val="none"/>
        <c:minorTickMark val="none"/>
        <c:tickLblPos val="nextTo"/>
        <c:crossAx val="414088416"/>
        <c:crosses val="autoZero"/>
        <c:auto val="1"/>
        <c:lblAlgn val="ctr"/>
        <c:lblOffset val="100"/>
        <c:noMultiLvlLbl val="0"/>
      </c:catAx>
      <c:valAx>
        <c:axId val="41408841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40895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in national risk of household poverty or social exclusion</a:t>
            </a:r>
          </a:p>
        </c:rich>
      </c:tx>
      <c:layout/>
      <c:overlay val="0"/>
    </c:title>
    <c:autoTitleDeleted val="0"/>
    <c:plotArea>
      <c:layout/>
      <c:lineChart>
        <c:grouping val="standard"/>
        <c:varyColors val="0"/>
        <c:ser>
          <c:idx val="0"/>
          <c:order val="0"/>
          <c:tx>
            <c:strRef>
              <c:f>Sheet1!$B$1</c:f>
              <c:strCache>
                <c:ptCount val="1"/>
                <c:pt idx="0">
                  <c:v>Disabled (16-64)</c:v>
                </c:pt>
              </c:strCache>
            </c:strRef>
          </c:tx>
          <c:cat>
            <c:numRef>
              <c:f>Sheet1!$A$2:$A$5</c:f>
              <c:numCache>
                <c:formatCode>General</c:formatCode>
                <c:ptCount val="4"/>
                <c:pt idx="0">
                  <c:v>2010</c:v>
                </c:pt>
                <c:pt idx="1">
                  <c:v>2011</c:v>
                </c:pt>
                <c:pt idx="2">
                  <c:v>2012</c:v>
                </c:pt>
                <c:pt idx="3">
                  <c:v>2013</c:v>
                </c:pt>
              </c:numCache>
            </c:numRef>
          </c:cat>
          <c:val>
            <c:numRef>
              <c:f>Sheet1!$B$2:$B$5</c:f>
              <c:numCache>
                <c:formatCode>General</c:formatCode>
                <c:ptCount val="4"/>
                <c:pt idx="0">
                  <c:v>42.1</c:v>
                </c:pt>
                <c:pt idx="1">
                  <c:v>46.6</c:v>
                </c:pt>
                <c:pt idx="2">
                  <c:v>50.8</c:v>
                </c:pt>
                <c:pt idx="3" formatCode="0.0">
                  <c:v>54.41</c:v>
                </c:pt>
              </c:numCache>
            </c:numRef>
          </c:val>
          <c:smooth val="0"/>
        </c:ser>
        <c:ser>
          <c:idx val="1"/>
          <c:order val="1"/>
          <c:tx>
            <c:strRef>
              <c:f>Sheet1!$C$1</c:f>
              <c:strCache>
                <c:ptCount val="1"/>
                <c:pt idx="0">
                  <c:v>Non-disabled (16-64)</c:v>
                </c:pt>
              </c:strCache>
            </c:strRef>
          </c:tx>
          <c:cat>
            <c:numRef>
              <c:f>Sheet1!$A$2:$A$5</c:f>
              <c:numCache>
                <c:formatCode>General</c:formatCode>
                <c:ptCount val="4"/>
                <c:pt idx="0">
                  <c:v>2010</c:v>
                </c:pt>
                <c:pt idx="1">
                  <c:v>2011</c:v>
                </c:pt>
                <c:pt idx="2">
                  <c:v>2012</c:v>
                </c:pt>
                <c:pt idx="3">
                  <c:v>2013</c:v>
                </c:pt>
              </c:numCache>
            </c:numRef>
          </c:cat>
          <c:val>
            <c:numRef>
              <c:f>Sheet1!$C$2:$C$5</c:f>
              <c:numCache>
                <c:formatCode>General</c:formatCode>
                <c:ptCount val="4"/>
                <c:pt idx="0">
                  <c:v>26.7</c:v>
                </c:pt>
                <c:pt idx="1">
                  <c:v>30.3</c:v>
                </c:pt>
                <c:pt idx="2">
                  <c:v>36.6</c:v>
                </c:pt>
                <c:pt idx="3" formatCode="0.0">
                  <c:v>36.840000000000003</c:v>
                </c:pt>
              </c:numCache>
            </c:numRef>
          </c:val>
          <c:smooth val="0"/>
        </c:ser>
        <c:ser>
          <c:idx val="2"/>
          <c:order val="2"/>
          <c:tx>
            <c:strRef>
              <c:f>Sheet1!$D$1</c:f>
              <c:strCache>
                <c:ptCount val="1"/>
                <c:pt idx="0">
                  <c:v>Disabled (65+)</c:v>
                </c:pt>
              </c:strCache>
            </c:strRef>
          </c:tx>
          <c:cat>
            <c:numRef>
              <c:f>Sheet1!$A$2:$A$5</c:f>
              <c:numCache>
                <c:formatCode>General</c:formatCode>
                <c:ptCount val="4"/>
                <c:pt idx="0">
                  <c:v>2010</c:v>
                </c:pt>
                <c:pt idx="1">
                  <c:v>2011</c:v>
                </c:pt>
                <c:pt idx="2">
                  <c:v>2012</c:v>
                </c:pt>
                <c:pt idx="3">
                  <c:v>2013</c:v>
                </c:pt>
              </c:numCache>
            </c:numRef>
          </c:cat>
          <c:val>
            <c:numRef>
              <c:f>Sheet1!$D$2:$D$5</c:f>
              <c:numCache>
                <c:formatCode>General</c:formatCode>
                <c:ptCount val="4"/>
                <c:pt idx="0">
                  <c:v>32.1</c:v>
                </c:pt>
                <c:pt idx="1">
                  <c:v>33.300000000000004</c:v>
                </c:pt>
                <c:pt idx="2">
                  <c:v>28.4</c:v>
                </c:pt>
                <c:pt idx="3" formatCode="0.0">
                  <c:v>26.29</c:v>
                </c:pt>
              </c:numCache>
            </c:numRef>
          </c:val>
          <c:smooth val="0"/>
        </c:ser>
        <c:ser>
          <c:idx val="3"/>
          <c:order val="3"/>
          <c:tx>
            <c:strRef>
              <c:f>Sheet1!$E$1</c:f>
              <c:strCache>
                <c:ptCount val="1"/>
                <c:pt idx="0">
                  <c:v>Non-disabled (65+)</c:v>
                </c:pt>
              </c:strCache>
            </c:strRef>
          </c:tx>
          <c:cat>
            <c:numRef>
              <c:f>Sheet1!$A$2:$A$5</c:f>
              <c:numCache>
                <c:formatCode>General</c:formatCode>
                <c:ptCount val="4"/>
                <c:pt idx="0">
                  <c:v>2010</c:v>
                </c:pt>
                <c:pt idx="1">
                  <c:v>2011</c:v>
                </c:pt>
                <c:pt idx="2">
                  <c:v>2012</c:v>
                </c:pt>
                <c:pt idx="3">
                  <c:v>2013</c:v>
                </c:pt>
              </c:numCache>
            </c:numRef>
          </c:cat>
          <c:val>
            <c:numRef>
              <c:f>Sheet1!$E$2:$E$5</c:f>
              <c:numCache>
                <c:formatCode>General</c:formatCode>
                <c:ptCount val="4"/>
                <c:pt idx="0">
                  <c:v>20</c:v>
                </c:pt>
                <c:pt idx="1">
                  <c:v>24.3</c:v>
                </c:pt>
                <c:pt idx="2">
                  <c:v>17.7</c:v>
                </c:pt>
                <c:pt idx="3" formatCode="0.0">
                  <c:v>17.21</c:v>
                </c:pt>
              </c:numCache>
            </c:numRef>
          </c:val>
          <c:smooth val="0"/>
        </c:ser>
        <c:ser>
          <c:idx val="4"/>
          <c:order val="4"/>
          <c:tx>
            <c:strRef>
              <c:f>Sheet1!$F$1</c:f>
              <c:strCache>
                <c:ptCount val="1"/>
                <c:pt idx="0">
                  <c:v>EU average (all 16+)</c:v>
                </c:pt>
              </c:strCache>
            </c:strRef>
          </c:tx>
          <c:cat>
            <c:numRef>
              <c:f>Sheet1!$A$2:$A$5</c:f>
              <c:numCache>
                <c:formatCode>General</c:formatCode>
                <c:ptCount val="4"/>
                <c:pt idx="0">
                  <c:v>2010</c:v>
                </c:pt>
                <c:pt idx="1">
                  <c:v>2011</c:v>
                </c:pt>
                <c:pt idx="2">
                  <c:v>2012</c:v>
                </c:pt>
                <c:pt idx="3">
                  <c:v>2013</c:v>
                </c:pt>
              </c:numCache>
            </c:numRef>
          </c:cat>
          <c:val>
            <c:numRef>
              <c:f>Sheet1!$F$2:$F$5</c:f>
              <c:numCache>
                <c:formatCode>General</c:formatCode>
                <c:ptCount val="4"/>
                <c:pt idx="0">
                  <c:v>22.7</c:v>
                </c:pt>
                <c:pt idx="1">
                  <c:v>23.6</c:v>
                </c:pt>
                <c:pt idx="2">
                  <c:v>24.1</c:v>
                </c:pt>
                <c:pt idx="3">
                  <c:v>23.8</c:v>
                </c:pt>
              </c:numCache>
            </c:numRef>
          </c:val>
          <c:smooth val="0"/>
        </c:ser>
        <c:dLbls>
          <c:showLegendKey val="0"/>
          <c:showVal val="0"/>
          <c:showCatName val="0"/>
          <c:showSerName val="0"/>
          <c:showPercent val="0"/>
          <c:showBubbleSize val="0"/>
        </c:dLbls>
        <c:marker val="1"/>
        <c:smooth val="0"/>
        <c:axId val="414086456"/>
        <c:axId val="414086848"/>
      </c:lineChart>
      <c:catAx>
        <c:axId val="414086456"/>
        <c:scaling>
          <c:orientation val="minMax"/>
        </c:scaling>
        <c:delete val="0"/>
        <c:axPos val="b"/>
        <c:numFmt formatCode="General" sourceLinked="1"/>
        <c:majorTickMark val="none"/>
        <c:minorTickMark val="none"/>
        <c:tickLblPos val="nextTo"/>
        <c:crossAx val="414086848"/>
        <c:crosses val="autoZero"/>
        <c:auto val="1"/>
        <c:lblAlgn val="ctr"/>
        <c:lblOffset val="100"/>
        <c:noMultiLvlLbl val="0"/>
      </c:catAx>
      <c:valAx>
        <c:axId val="41408684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4086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General</c:formatCode>
                <c:ptCount val="7"/>
                <c:pt idx="0">
                  <c:v>71.400000000000006</c:v>
                </c:pt>
                <c:pt idx="1">
                  <c:v>56.2</c:v>
                </c:pt>
                <c:pt idx="2">
                  <c:v>28.6</c:v>
                </c:pt>
                <c:pt idx="3">
                  <c:v>45.4</c:v>
                </c:pt>
                <c:pt idx="4">
                  <c:v>52.1</c:v>
                </c:pt>
                <c:pt idx="5">
                  <c:v>65.3</c:v>
                </c:pt>
                <c:pt idx="6">
                  <c:v>77.400000000000006</c:v>
                </c:pt>
              </c:numCache>
            </c:numRef>
          </c:val>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General</c:formatCode>
                <c:ptCount val="7"/>
                <c:pt idx="0">
                  <c:v>53.8</c:v>
                </c:pt>
                <c:pt idx="1">
                  <c:v>33.700000000000003</c:v>
                </c:pt>
                <c:pt idx="2">
                  <c:v>23.1</c:v>
                </c:pt>
                <c:pt idx="3">
                  <c:v>25.7</c:v>
                </c:pt>
                <c:pt idx="4">
                  <c:v>33.4</c:v>
                </c:pt>
                <c:pt idx="5">
                  <c:v>44.4</c:v>
                </c:pt>
                <c:pt idx="6">
                  <c:v>63.1</c:v>
                </c:pt>
              </c:numCache>
            </c:numRef>
          </c:val>
        </c:ser>
        <c:ser>
          <c:idx val="2"/>
          <c:order val="2"/>
          <c:tx>
            <c:strRef>
              <c:f>Sheet1!$D$1</c:f>
              <c:strCache>
                <c:ptCount val="1"/>
                <c:pt idx="0">
                  <c:v> 2</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Sheet1!$D$2:$D$8</c:f>
            </c:numRef>
          </c:val>
        </c:ser>
        <c:dLbls>
          <c:showLegendKey val="0"/>
          <c:showVal val="0"/>
          <c:showCatName val="0"/>
          <c:showSerName val="0"/>
          <c:showPercent val="0"/>
          <c:showBubbleSize val="0"/>
        </c:dLbls>
        <c:gapWidth val="150"/>
        <c:axId val="261522000"/>
        <c:axId val="261525136"/>
      </c:barChart>
      <c:catAx>
        <c:axId val="261522000"/>
        <c:scaling>
          <c:orientation val="minMax"/>
        </c:scaling>
        <c:delete val="0"/>
        <c:axPos val="b"/>
        <c:numFmt formatCode="General" sourceLinked="1"/>
        <c:majorTickMark val="none"/>
        <c:minorTickMark val="none"/>
        <c:tickLblPos val="nextTo"/>
        <c:crossAx val="261525136"/>
        <c:crosses val="autoZero"/>
        <c:auto val="1"/>
        <c:lblAlgn val="ctr"/>
        <c:lblOffset val="100"/>
        <c:noMultiLvlLbl val="0"/>
      </c:catAx>
      <c:valAx>
        <c:axId val="26152513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2615220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497"/>
          <c:y val="2.4509803921568631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26.2</c:v>
                </c:pt>
                <c:pt idx="1">
                  <c:v>57.7</c:v>
                </c:pt>
                <c:pt idx="2">
                  <c:v>61.6</c:v>
                </c:pt>
                <c:pt idx="3">
                  <c:v>57.9</c:v>
                </c:pt>
                <c:pt idx="4">
                  <c:v>33.200000000000003</c:v>
                </c:pt>
              </c:numCache>
            </c:numRef>
          </c:val>
          <c:smooth val="0"/>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28.6</c:v>
                </c:pt>
                <c:pt idx="1">
                  <c:v>73.900000000000006</c:v>
                </c:pt>
                <c:pt idx="2">
                  <c:v>82.4</c:v>
                </c:pt>
                <c:pt idx="3">
                  <c:v>82.9</c:v>
                </c:pt>
                <c:pt idx="4">
                  <c:v>56.1</c:v>
                </c:pt>
              </c:numCache>
            </c:numRef>
          </c:val>
          <c:smooth val="0"/>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0</c:v>
                </c:pt>
                <c:pt idx="1">
                  <c:v>24.8</c:v>
                </c:pt>
                <c:pt idx="2">
                  <c:v>41.3</c:v>
                </c:pt>
                <c:pt idx="3">
                  <c:v>41.8</c:v>
                </c:pt>
                <c:pt idx="4">
                  <c:v>20.100000000000001</c:v>
                </c:pt>
              </c:numCache>
            </c:numRef>
          </c:val>
          <c:smooth val="0"/>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10.6</c:v>
                </c:pt>
                <c:pt idx="1">
                  <c:v>54</c:v>
                </c:pt>
                <c:pt idx="2">
                  <c:v>68.599999999999994</c:v>
                </c:pt>
                <c:pt idx="3">
                  <c:v>64.900000000000006</c:v>
                </c:pt>
                <c:pt idx="4">
                  <c:v>35.700000000000003</c:v>
                </c:pt>
              </c:numCache>
            </c:numRef>
          </c:val>
          <c:smooth val="0"/>
        </c:ser>
        <c:dLbls>
          <c:showLegendKey val="0"/>
          <c:showVal val="0"/>
          <c:showCatName val="0"/>
          <c:showSerName val="0"/>
          <c:showPercent val="0"/>
          <c:showBubbleSize val="0"/>
        </c:dLbls>
        <c:marker val="1"/>
        <c:smooth val="0"/>
        <c:axId val="261522392"/>
        <c:axId val="8396912"/>
      </c:lineChart>
      <c:catAx>
        <c:axId val="261522392"/>
        <c:scaling>
          <c:orientation val="minMax"/>
        </c:scaling>
        <c:delete val="0"/>
        <c:axPos val="b"/>
        <c:numFmt formatCode="General" sourceLinked="1"/>
        <c:majorTickMark val="none"/>
        <c:minorTickMark val="none"/>
        <c:tickLblPos val="nextTo"/>
        <c:crossAx val="8396912"/>
        <c:crosses val="autoZero"/>
        <c:auto val="1"/>
        <c:lblAlgn val="ctr"/>
        <c:lblOffset val="100"/>
        <c:noMultiLvlLbl val="0"/>
      </c:catAx>
      <c:valAx>
        <c:axId val="8396912"/>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261522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layout/>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27.2</c:v>
                </c:pt>
                <c:pt idx="1">
                  <c:v>27.4</c:v>
                </c:pt>
                <c:pt idx="2">
                  <c:v>32.300000000000004</c:v>
                </c:pt>
                <c:pt idx="3">
                  <c:v>23.4</c:v>
                </c:pt>
                <c:pt idx="4">
                  <c:v>26</c:v>
                </c:pt>
                <c:pt idx="5">
                  <c:v>25.7</c:v>
                </c:pt>
              </c:numCache>
            </c:numRef>
          </c:val>
          <c:smooth val="0"/>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43.8</c:v>
                </c:pt>
                <c:pt idx="1">
                  <c:v>39.6</c:v>
                </c:pt>
                <c:pt idx="2">
                  <c:v>44.3</c:v>
                </c:pt>
                <c:pt idx="3">
                  <c:v>37.4</c:v>
                </c:pt>
                <c:pt idx="4">
                  <c:v>40.1</c:v>
                </c:pt>
                <c:pt idx="5">
                  <c:v>33.4</c:v>
                </c:pt>
              </c:numCache>
            </c:numRef>
          </c:val>
          <c:smooth val="0"/>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57.3</c:v>
                </c:pt>
                <c:pt idx="1">
                  <c:v>56.9</c:v>
                </c:pt>
                <c:pt idx="2">
                  <c:v>57</c:v>
                </c:pt>
                <c:pt idx="3">
                  <c:v>47.7</c:v>
                </c:pt>
                <c:pt idx="4">
                  <c:v>47.1</c:v>
                </c:pt>
                <c:pt idx="5">
                  <c:v>44.4</c:v>
                </c:pt>
              </c:numCache>
            </c:numRef>
          </c:val>
          <c:smooth val="0"/>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82.1</c:v>
                </c:pt>
                <c:pt idx="1">
                  <c:v>79.099999999999994</c:v>
                </c:pt>
                <c:pt idx="2">
                  <c:v>76.099999999999994</c:v>
                </c:pt>
                <c:pt idx="3">
                  <c:v>66.2</c:v>
                </c:pt>
                <c:pt idx="4">
                  <c:v>66.7</c:v>
                </c:pt>
                <c:pt idx="5">
                  <c:v>63.1</c:v>
                </c:pt>
              </c:numCache>
            </c:numRef>
          </c:val>
          <c:smooth val="0"/>
        </c:ser>
        <c:ser>
          <c:idx val="4"/>
          <c:order val="4"/>
          <c:tx>
            <c:strRef>
              <c:f>Sheet1!$F$1</c:f>
              <c:strCache>
                <c:ptCount val="1"/>
                <c:pt idx="0">
                  <c:v>EU average (total)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68.7</c:v>
                </c:pt>
                <c:pt idx="1">
                  <c:v>67.599999999999994</c:v>
                </c:pt>
                <c:pt idx="2">
                  <c:v>67.2</c:v>
                </c:pt>
                <c:pt idx="3">
                  <c:v>67.2</c:v>
                </c:pt>
                <c:pt idx="4">
                  <c:v>67</c:v>
                </c:pt>
                <c:pt idx="5">
                  <c:v>66.900000000000006</c:v>
                </c:pt>
              </c:numCache>
            </c:numRef>
          </c:val>
          <c:smooth val="0"/>
        </c:ser>
        <c:dLbls>
          <c:showLegendKey val="0"/>
          <c:showVal val="0"/>
          <c:showCatName val="0"/>
          <c:showSerName val="0"/>
          <c:showPercent val="0"/>
          <c:showBubbleSize val="0"/>
        </c:dLbls>
        <c:marker val="1"/>
        <c:smooth val="0"/>
        <c:axId val="413364888"/>
        <c:axId val="413366848"/>
      </c:lineChart>
      <c:catAx>
        <c:axId val="413364888"/>
        <c:scaling>
          <c:orientation val="minMax"/>
        </c:scaling>
        <c:delete val="0"/>
        <c:axPos val="b"/>
        <c:numFmt formatCode="General" sourceLinked="1"/>
        <c:majorTickMark val="none"/>
        <c:minorTickMark val="none"/>
        <c:tickLblPos val="nextTo"/>
        <c:crossAx val="413366848"/>
        <c:crosses val="autoZero"/>
        <c:auto val="1"/>
        <c:lblAlgn val="ctr"/>
        <c:lblOffset val="100"/>
        <c:noMultiLvlLbl val="0"/>
      </c:catAx>
      <c:valAx>
        <c:axId val="41336684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3648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17.899999999999999</c:v>
                </c:pt>
                <c:pt idx="1">
                  <c:v>20.100000000000001</c:v>
                </c:pt>
                <c:pt idx="2">
                  <c:v>11.5</c:v>
                </c:pt>
                <c:pt idx="3">
                  <c:v>12.1</c:v>
                </c:pt>
              </c:numCache>
            </c:numRef>
          </c:val>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General</c:formatCode>
                <c:ptCount val="4"/>
                <c:pt idx="0">
                  <c:v>34.9</c:v>
                </c:pt>
                <c:pt idx="1">
                  <c:v>42.2</c:v>
                </c:pt>
                <c:pt idx="2">
                  <c:v>31.2</c:v>
                </c:pt>
                <c:pt idx="3">
                  <c:v>26.8</c:v>
                </c:pt>
              </c:numCache>
            </c:numRef>
          </c:val>
        </c:ser>
        <c:dLbls>
          <c:showLegendKey val="0"/>
          <c:showVal val="0"/>
          <c:showCatName val="0"/>
          <c:showSerName val="0"/>
          <c:showPercent val="0"/>
          <c:showBubbleSize val="0"/>
        </c:dLbls>
        <c:gapWidth val="150"/>
        <c:axId val="413365672"/>
        <c:axId val="413367240"/>
      </c:barChart>
      <c:catAx>
        <c:axId val="413365672"/>
        <c:scaling>
          <c:orientation val="minMax"/>
        </c:scaling>
        <c:delete val="0"/>
        <c:axPos val="b"/>
        <c:numFmt formatCode="General" sourceLinked="1"/>
        <c:majorTickMark val="none"/>
        <c:minorTickMark val="none"/>
        <c:tickLblPos val="nextTo"/>
        <c:crossAx val="413367240"/>
        <c:crosses val="autoZero"/>
        <c:auto val="1"/>
        <c:lblAlgn val="ctr"/>
        <c:lblOffset val="100"/>
        <c:noMultiLvlLbl val="0"/>
      </c:catAx>
      <c:valAx>
        <c:axId val="41336724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3656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31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28.2</c:v>
                </c:pt>
                <c:pt idx="1">
                  <c:v>20.9</c:v>
                </c:pt>
                <c:pt idx="2">
                  <c:v>17.600000000000001</c:v>
                </c:pt>
                <c:pt idx="3">
                  <c:v>17.7</c:v>
                </c:pt>
                <c:pt idx="4">
                  <c:v>19.899999999999999</c:v>
                </c:pt>
              </c:numCache>
            </c:numRef>
          </c:val>
          <c:smooth val="0"/>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25.3</c:v>
                </c:pt>
                <c:pt idx="1">
                  <c:v>14.1</c:v>
                </c:pt>
                <c:pt idx="2">
                  <c:v>9.8000000000000007</c:v>
                </c:pt>
                <c:pt idx="3">
                  <c:v>9</c:v>
                </c:pt>
                <c:pt idx="4">
                  <c:v>10.7</c:v>
                </c:pt>
              </c:numCache>
            </c:numRef>
          </c:val>
          <c:smooth val="0"/>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100</c:v>
                </c:pt>
                <c:pt idx="1">
                  <c:v>67.400000000000006</c:v>
                </c:pt>
                <c:pt idx="2">
                  <c:v>40.1</c:v>
                </c:pt>
                <c:pt idx="3">
                  <c:v>31</c:v>
                </c:pt>
                <c:pt idx="4">
                  <c:v>37.1</c:v>
                </c:pt>
              </c:numCache>
            </c:numRef>
          </c:val>
          <c:smooth val="0"/>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67.400000000000006</c:v>
                </c:pt>
                <c:pt idx="1">
                  <c:v>39.200000000000003</c:v>
                </c:pt>
                <c:pt idx="2">
                  <c:v>22.9</c:v>
                </c:pt>
                <c:pt idx="3">
                  <c:v>18.7</c:v>
                </c:pt>
                <c:pt idx="4">
                  <c:v>21.2</c:v>
                </c:pt>
              </c:numCache>
            </c:numRef>
          </c:val>
          <c:smooth val="0"/>
        </c:ser>
        <c:ser>
          <c:idx val="4"/>
          <c:order val="4"/>
          <c:tx>
            <c:strRef>
              <c:f>Sheet1!$F$1</c:f>
              <c:strCache>
                <c:ptCount val="1"/>
                <c:pt idx="0">
                  <c:v>Column1</c:v>
                </c:pt>
              </c:strCache>
            </c:strRef>
          </c:tx>
          <c:cat>
            <c:strRef>
              <c:f>Sheet1!$A$2:$A$6</c:f>
              <c:strCache>
                <c:ptCount val="5"/>
                <c:pt idx="0">
                  <c:v>age 16-24*</c:v>
                </c:pt>
                <c:pt idx="1">
                  <c:v>age 25-34</c:v>
                </c:pt>
                <c:pt idx="2">
                  <c:v>age 35-44</c:v>
                </c:pt>
                <c:pt idx="3">
                  <c:v>age 45-54</c:v>
                </c:pt>
                <c:pt idx="4">
                  <c:v>age 55-64</c:v>
                </c:pt>
              </c:strCache>
            </c:strRef>
          </c:cat>
          <c:val>
            <c:numRef>
              <c:f>Sheet1!$F$2:$F$6</c:f>
            </c:numRef>
          </c:val>
          <c:smooth val="0"/>
        </c:ser>
        <c:dLbls>
          <c:showLegendKey val="0"/>
          <c:showVal val="0"/>
          <c:showCatName val="0"/>
          <c:showSerName val="0"/>
          <c:showPercent val="0"/>
          <c:showBubbleSize val="0"/>
        </c:dLbls>
        <c:marker val="1"/>
        <c:smooth val="0"/>
        <c:axId val="413366064"/>
        <c:axId val="413367632"/>
      </c:lineChart>
      <c:catAx>
        <c:axId val="413366064"/>
        <c:scaling>
          <c:orientation val="minMax"/>
        </c:scaling>
        <c:delete val="0"/>
        <c:axPos val="b"/>
        <c:numFmt formatCode="General" sourceLinked="1"/>
        <c:majorTickMark val="none"/>
        <c:minorTickMark val="none"/>
        <c:tickLblPos val="nextTo"/>
        <c:crossAx val="413367632"/>
        <c:crosses val="autoZero"/>
        <c:auto val="1"/>
        <c:lblAlgn val="ctr"/>
        <c:lblOffset val="100"/>
        <c:noMultiLvlLbl val="0"/>
      </c:catAx>
      <c:valAx>
        <c:axId val="413367632"/>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3660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layout/>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18.5</c:v>
                </c:pt>
                <c:pt idx="1">
                  <c:v>21.2</c:v>
                </c:pt>
                <c:pt idx="2">
                  <c:v>23.9</c:v>
                </c:pt>
                <c:pt idx="3">
                  <c:v>37.5</c:v>
                </c:pt>
                <c:pt idx="4">
                  <c:v>31.4</c:v>
                </c:pt>
                <c:pt idx="5">
                  <c:v>42.2</c:v>
                </c:pt>
              </c:numCache>
            </c:numRef>
          </c:val>
          <c:smooth val="0"/>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16</c:v>
                </c:pt>
                <c:pt idx="1">
                  <c:v>15.1</c:v>
                </c:pt>
                <c:pt idx="2">
                  <c:v>14.8</c:v>
                </c:pt>
                <c:pt idx="3">
                  <c:v>29</c:v>
                </c:pt>
                <c:pt idx="4">
                  <c:v>35.800000000000004</c:v>
                </c:pt>
                <c:pt idx="5">
                  <c:v>34.9</c:v>
                </c:pt>
              </c:numCache>
            </c:numRef>
          </c:val>
          <c:smooth val="0"/>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10.9</c:v>
                </c:pt>
                <c:pt idx="1">
                  <c:v>12.2</c:v>
                </c:pt>
                <c:pt idx="2">
                  <c:v>12.9</c:v>
                </c:pt>
                <c:pt idx="3">
                  <c:v>26.1</c:v>
                </c:pt>
                <c:pt idx="4">
                  <c:v>28.8</c:v>
                </c:pt>
                <c:pt idx="5">
                  <c:v>26.8</c:v>
                </c:pt>
              </c:numCache>
            </c:numRef>
          </c:val>
          <c:smooth val="0"/>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5.7</c:v>
                </c:pt>
                <c:pt idx="1">
                  <c:v>7.7</c:v>
                </c:pt>
                <c:pt idx="2">
                  <c:v>12</c:v>
                </c:pt>
                <c:pt idx="3">
                  <c:v>22.5</c:v>
                </c:pt>
                <c:pt idx="4">
                  <c:v>22.2</c:v>
                </c:pt>
                <c:pt idx="5">
                  <c:v>31.2</c:v>
                </c:pt>
              </c:numCache>
            </c:numRef>
          </c:val>
          <c:smooth val="0"/>
        </c:ser>
        <c:ser>
          <c:idx val="4"/>
          <c:order val="4"/>
          <c:tx>
            <c:strRef>
              <c:f>Sheet1!$F$1</c:f>
              <c:strCache>
                <c:ptCount val="1"/>
                <c:pt idx="0">
                  <c:v>EU average (all)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8.4</c:v>
                </c:pt>
                <c:pt idx="1">
                  <c:v>10.200000000000001</c:v>
                </c:pt>
                <c:pt idx="2">
                  <c:v>10.9</c:v>
                </c:pt>
                <c:pt idx="3">
                  <c:v>11.3</c:v>
                </c:pt>
                <c:pt idx="4">
                  <c:v>12.2</c:v>
                </c:pt>
                <c:pt idx="5">
                  <c:v>12.9</c:v>
                </c:pt>
              </c:numCache>
            </c:numRef>
          </c:val>
          <c:smooth val="0"/>
        </c:ser>
        <c:dLbls>
          <c:showLegendKey val="0"/>
          <c:showVal val="0"/>
          <c:showCatName val="0"/>
          <c:showSerName val="0"/>
          <c:showPercent val="0"/>
          <c:showBubbleSize val="0"/>
        </c:dLbls>
        <c:marker val="1"/>
        <c:smooth val="0"/>
        <c:axId val="413368808"/>
        <c:axId val="413369200"/>
      </c:lineChart>
      <c:catAx>
        <c:axId val="413368808"/>
        <c:scaling>
          <c:orientation val="minMax"/>
        </c:scaling>
        <c:delete val="0"/>
        <c:axPos val="b"/>
        <c:numFmt formatCode="General" sourceLinked="1"/>
        <c:majorTickMark val="none"/>
        <c:minorTickMark val="none"/>
        <c:tickLblPos val="nextTo"/>
        <c:crossAx val="413369200"/>
        <c:crosses val="autoZero"/>
        <c:auto val="1"/>
        <c:lblAlgn val="ctr"/>
        <c:lblOffset val="100"/>
        <c:noMultiLvlLbl val="0"/>
      </c:catAx>
      <c:valAx>
        <c:axId val="41336920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3688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55.3</c:v>
                </c:pt>
                <c:pt idx="1">
                  <c:v>65.2</c:v>
                </c:pt>
                <c:pt idx="2">
                  <c:v>73.8</c:v>
                </c:pt>
                <c:pt idx="3">
                  <c:v>88</c:v>
                </c:pt>
              </c:numCache>
            </c:numRef>
          </c:val>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0.0</c:formatCode>
                <c:ptCount val="4"/>
                <c:pt idx="0">
                  <c:v>39.47</c:v>
                </c:pt>
                <c:pt idx="1">
                  <c:v>57.75</c:v>
                </c:pt>
                <c:pt idx="2">
                  <c:v>64.58</c:v>
                </c:pt>
                <c:pt idx="3">
                  <c:v>86.210000000000022</c:v>
                </c:pt>
              </c:numCache>
            </c:numRef>
          </c:val>
        </c:ser>
        <c:dLbls>
          <c:showLegendKey val="0"/>
          <c:showVal val="0"/>
          <c:showCatName val="0"/>
          <c:showSerName val="0"/>
          <c:showPercent val="0"/>
          <c:showBubbleSize val="0"/>
        </c:dLbls>
        <c:gapWidth val="150"/>
        <c:axId val="413362536"/>
        <c:axId val="413362928"/>
      </c:barChart>
      <c:catAx>
        <c:axId val="413362536"/>
        <c:scaling>
          <c:orientation val="minMax"/>
        </c:scaling>
        <c:delete val="0"/>
        <c:axPos val="b"/>
        <c:numFmt formatCode="General" sourceLinked="1"/>
        <c:majorTickMark val="none"/>
        <c:minorTickMark val="none"/>
        <c:tickLblPos val="nextTo"/>
        <c:crossAx val="413362928"/>
        <c:crosses val="autoZero"/>
        <c:auto val="1"/>
        <c:lblAlgn val="ctr"/>
        <c:lblOffset val="100"/>
        <c:noMultiLvlLbl val="0"/>
      </c:catAx>
      <c:valAx>
        <c:axId val="41336292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4133625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36.5</c:v>
                </c:pt>
                <c:pt idx="1">
                  <c:v>72.900000000000006</c:v>
                </c:pt>
                <c:pt idx="2">
                  <c:v>74.8</c:v>
                </c:pt>
                <c:pt idx="3">
                  <c:v>70.3</c:v>
                </c:pt>
                <c:pt idx="4">
                  <c:v>41.4</c:v>
                </c:pt>
              </c:numCache>
            </c:numRef>
          </c:val>
          <c:smooth val="0"/>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38.300000000000004</c:v>
                </c:pt>
                <c:pt idx="1">
                  <c:v>86</c:v>
                </c:pt>
                <c:pt idx="2">
                  <c:v>91.3</c:v>
                </c:pt>
                <c:pt idx="3">
                  <c:v>91</c:v>
                </c:pt>
                <c:pt idx="4">
                  <c:v>62.9</c:v>
                </c:pt>
              </c:numCache>
            </c:numRef>
          </c:val>
          <c:smooth val="0"/>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14.298985</c:v>
                </c:pt>
                <c:pt idx="1">
                  <c:v>76.148820999999998</c:v>
                </c:pt>
                <c:pt idx="2">
                  <c:v>68.987025000000571</c:v>
                </c:pt>
                <c:pt idx="3">
                  <c:v>60.582639000000007</c:v>
                </c:pt>
                <c:pt idx="4">
                  <c:v>31.963270999999889</c:v>
                </c:pt>
              </c:numCache>
            </c:numRef>
          </c:val>
          <c:smooth val="0"/>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32.390565000000002</c:v>
                </c:pt>
                <c:pt idx="1">
                  <c:v>88.839058000000009</c:v>
                </c:pt>
                <c:pt idx="2">
                  <c:v>88.946342999999999</c:v>
                </c:pt>
                <c:pt idx="3">
                  <c:v>79.881827000000001</c:v>
                </c:pt>
                <c:pt idx="4">
                  <c:v>45.271218000000012</c:v>
                </c:pt>
              </c:numCache>
            </c:numRef>
          </c:val>
          <c:smooth val="0"/>
        </c:ser>
        <c:dLbls>
          <c:showLegendKey val="0"/>
          <c:showVal val="0"/>
          <c:showCatName val="0"/>
          <c:showSerName val="0"/>
          <c:showPercent val="0"/>
          <c:showBubbleSize val="0"/>
        </c:dLbls>
        <c:marker val="1"/>
        <c:smooth val="0"/>
        <c:axId val="261523176"/>
        <c:axId val="261521216"/>
      </c:lineChart>
      <c:catAx>
        <c:axId val="261523176"/>
        <c:scaling>
          <c:orientation val="minMax"/>
        </c:scaling>
        <c:delete val="0"/>
        <c:axPos val="b"/>
        <c:numFmt formatCode="General" sourceLinked="1"/>
        <c:majorTickMark val="none"/>
        <c:minorTickMark val="none"/>
        <c:tickLblPos val="nextTo"/>
        <c:crossAx val="261521216"/>
        <c:crosses val="autoZero"/>
        <c:auto val="1"/>
        <c:lblAlgn val="ctr"/>
        <c:lblOffset val="100"/>
        <c:noMultiLvlLbl val="0"/>
      </c:catAx>
      <c:valAx>
        <c:axId val="26152121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26152317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4D2F4-66D6-45D5-A74C-A741E90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8620</Words>
  <Characters>49138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Priestley</dc:creator>
  <cp:lastModifiedBy>Ivette</cp:lastModifiedBy>
  <cp:revision>3</cp:revision>
  <cp:lastPrinted>2015-09-17T08:54:00Z</cp:lastPrinted>
  <dcterms:created xsi:type="dcterms:W3CDTF">2016-06-20T13:49:00Z</dcterms:created>
  <dcterms:modified xsi:type="dcterms:W3CDTF">2016-06-20T13:55:00Z</dcterms:modified>
</cp:coreProperties>
</file>